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C0ADB" w14:textId="77777777" w:rsidR="00051706" w:rsidRPr="00846DCD" w:rsidRDefault="00846DCD" w:rsidP="00846DCD">
      <w:pPr>
        <w:pStyle w:val="Geenafstand"/>
        <w:jc w:val="center"/>
        <w:rPr>
          <w:b/>
          <w:sz w:val="28"/>
          <w:szCs w:val="28"/>
        </w:rPr>
      </w:pPr>
      <w:r w:rsidRPr="00846DCD">
        <w:rPr>
          <w:b/>
          <w:sz w:val="28"/>
          <w:szCs w:val="28"/>
        </w:rPr>
        <w:t>Emissie inventaris rapport</w:t>
      </w:r>
    </w:p>
    <w:p w14:paraId="1B494A8E" w14:textId="77777777" w:rsidR="00846DCD" w:rsidRDefault="00846DCD" w:rsidP="00AA6E37">
      <w:pPr>
        <w:pStyle w:val="Geenafstand"/>
        <w:rPr>
          <w:b/>
        </w:rPr>
      </w:pPr>
    </w:p>
    <w:p w14:paraId="65BDD8A4" w14:textId="77777777" w:rsidR="00846DCD" w:rsidRDefault="00846DCD" w:rsidP="00AA6E37">
      <w:pPr>
        <w:pStyle w:val="Geenafstand"/>
        <w:rPr>
          <w:b/>
        </w:rPr>
      </w:pPr>
    </w:p>
    <w:p w14:paraId="3F2CE81D" w14:textId="77777777" w:rsidR="00846DCD" w:rsidRDefault="00846DCD" w:rsidP="00AA6E37">
      <w:pPr>
        <w:pStyle w:val="Geenafstand"/>
        <w:rPr>
          <w:b/>
        </w:rPr>
      </w:pPr>
    </w:p>
    <w:p w14:paraId="38D186E3" w14:textId="77777777" w:rsidR="00846DCD" w:rsidRDefault="00846DCD" w:rsidP="00AA6E37">
      <w:pPr>
        <w:pStyle w:val="Geenafstand"/>
        <w:rPr>
          <w:b/>
        </w:rPr>
      </w:pPr>
    </w:p>
    <w:p w14:paraId="593090F3" w14:textId="77777777" w:rsidR="00846DCD" w:rsidRDefault="00846DCD" w:rsidP="00AA6E37">
      <w:pPr>
        <w:pStyle w:val="Geenafstand"/>
        <w:rPr>
          <w:b/>
        </w:rPr>
      </w:pPr>
    </w:p>
    <w:p w14:paraId="373595FE" w14:textId="77777777" w:rsidR="00846DCD" w:rsidRDefault="00846DCD" w:rsidP="00AA6E37">
      <w:pPr>
        <w:pStyle w:val="Geenafstand"/>
        <w:rPr>
          <w:b/>
        </w:rPr>
      </w:pPr>
    </w:p>
    <w:p w14:paraId="1DC7F157" w14:textId="77777777" w:rsidR="00846DCD" w:rsidRDefault="00E14B7D" w:rsidP="00E14B7D">
      <w:pPr>
        <w:pStyle w:val="Geenafstand"/>
        <w:jc w:val="center"/>
        <w:rPr>
          <w:b/>
        </w:rPr>
      </w:pPr>
      <w:r>
        <w:rPr>
          <w:noProof/>
        </w:rPr>
        <w:drawing>
          <wp:inline distT="0" distB="0" distL="0" distR="0" wp14:anchorId="401E1D6D" wp14:editId="5E5BA3C1">
            <wp:extent cx="2857500" cy="2857500"/>
            <wp:effectExtent l="0" t="0" r="0" b="0"/>
            <wp:docPr id="3" name="Afbeelding 3" descr="Loonbedrijf Kennes waterloop berm maa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onbedrijf Kennes waterloop berm maai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1A8255B3" w14:textId="77777777" w:rsidR="00846DCD" w:rsidRDefault="00846DCD" w:rsidP="00AA6E37">
      <w:pPr>
        <w:pStyle w:val="Geenafstand"/>
        <w:rPr>
          <w:b/>
        </w:rPr>
      </w:pPr>
    </w:p>
    <w:p w14:paraId="151E6542" w14:textId="77777777" w:rsidR="00846DCD" w:rsidRDefault="00846DCD" w:rsidP="00AA6E37">
      <w:pPr>
        <w:pStyle w:val="Geenafstand"/>
        <w:rPr>
          <w:b/>
        </w:rPr>
      </w:pPr>
    </w:p>
    <w:p w14:paraId="4A1F556A" w14:textId="77777777" w:rsidR="00846DCD" w:rsidRDefault="00846DCD" w:rsidP="00AA6E37">
      <w:pPr>
        <w:pStyle w:val="Geenafstand"/>
        <w:rPr>
          <w:b/>
        </w:rPr>
      </w:pPr>
    </w:p>
    <w:p w14:paraId="2F1CA571" w14:textId="77777777" w:rsidR="00846DCD" w:rsidRDefault="00846DCD" w:rsidP="00AA6E37">
      <w:pPr>
        <w:pStyle w:val="Geenafstand"/>
        <w:rPr>
          <w:b/>
        </w:rPr>
      </w:pPr>
    </w:p>
    <w:p w14:paraId="7903A309" w14:textId="77777777" w:rsidR="00846DCD" w:rsidRDefault="00846DCD" w:rsidP="00AA6E37">
      <w:pPr>
        <w:pStyle w:val="Geenafstand"/>
        <w:rPr>
          <w:b/>
        </w:rPr>
      </w:pPr>
    </w:p>
    <w:sdt>
      <w:sdtPr>
        <w:rPr>
          <w:rFonts w:ascii="Calibri" w:eastAsiaTheme="minorHAnsi" w:hAnsi="Calibri" w:cstheme="minorBidi"/>
          <w:color w:val="0B3B60"/>
          <w:sz w:val="22"/>
          <w:szCs w:val="22"/>
          <w:lang w:eastAsia="en-US"/>
        </w:rPr>
        <w:id w:val="-1012073116"/>
        <w:docPartObj>
          <w:docPartGallery w:val="Table of Contents"/>
          <w:docPartUnique/>
        </w:docPartObj>
      </w:sdtPr>
      <w:sdtEndPr>
        <w:rPr>
          <w:b/>
          <w:bCs/>
        </w:rPr>
      </w:sdtEndPr>
      <w:sdtContent>
        <w:p w14:paraId="1B9278F2" w14:textId="77777777" w:rsidR="00846DCD" w:rsidRDefault="00846DCD">
          <w:pPr>
            <w:pStyle w:val="Kopvaninhoudsopgave"/>
          </w:pPr>
        </w:p>
        <w:p w14:paraId="5D36AC50" w14:textId="1E68F727" w:rsidR="00846DCD" w:rsidRDefault="00846DCD">
          <w:pPr>
            <w:pStyle w:val="Inhopg1"/>
            <w:tabs>
              <w:tab w:val="right" w:leader="dot" w:pos="9062"/>
            </w:tabs>
            <w:rPr>
              <w:rFonts w:asciiTheme="minorHAnsi" w:eastAsiaTheme="minorEastAsia" w:hAnsiTheme="minorHAnsi"/>
              <w:noProof/>
              <w:color w:val="auto"/>
              <w:lang w:eastAsia="nl-NL"/>
            </w:rPr>
          </w:pPr>
          <w:r>
            <w:fldChar w:fldCharType="begin"/>
          </w:r>
          <w:r>
            <w:instrText xml:space="preserve"> TOC \o "1-3" \h \z \u </w:instrText>
          </w:r>
          <w:r>
            <w:fldChar w:fldCharType="separate"/>
          </w:r>
          <w:hyperlink w:anchor="_Toc46135118" w:history="1">
            <w:r w:rsidRPr="007E62D1">
              <w:rPr>
                <w:rStyle w:val="Hyperlink"/>
                <w:noProof/>
              </w:rPr>
              <w:t>Inleiding en verantwoording</w:t>
            </w:r>
            <w:r>
              <w:rPr>
                <w:noProof/>
                <w:webHidden/>
              </w:rPr>
              <w:tab/>
            </w:r>
            <w:r>
              <w:rPr>
                <w:noProof/>
                <w:webHidden/>
              </w:rPr>
              <w:fldChar w:fldCharType="begin"/>
            </w:r>
            <w:r>
              <w:rPr>
                <w:noProof/>
                <w:webHidden/>
              </w:rPr>
              <w:instrText xml:space="preserve"> PAGEREF _Toc46135118 \h </w:instrText>
            </w:r>
            <w:r>
              <w:rPr>
                <w:noProof/>
                <w:webHidden/>
              </w:rPr>
            </w:r>
            <w:r>
              <w:rPr>
                <w:noProof/>
                <w:webHidden/>
              </w:rPr>
              <w:fldChar w:fldCharType="separate"/>
            </w:r>
            <w:r w:rsidR="0022105D">
              <w:rPr>
                <w:noProof/>
                <w:webHidden/>
              </w:rPr>
              <w:t>2</w:t>
            </w:r>
            <w:r>
              <w:rPr>
                <w:noProof/>
                <w:webHidden/>
              </w:rPr>
              <w:fldChar w:fldCharType="end"/>
            </w:r>
          </w:hyperlink>
        </w:p>
        <w:p w14:paraId="157D4F15" w14:textId="4777EFD3" w:rsidR="00846DCD" w:rsidRDefault="007B56E9">
          <w:pPr>
            <w:pStyle w:val="Inhopg1"/>
            <w:tabs>
              <w:tab w:val="right" w:leader="dot" w:pos="9062"/>
            </w:tabs>
            <w:rPr>
              <w:rFonts w:asciiTheme="minorHAnsi" w:eastAsiaTheme="minorEastAsia" w:hAnsiTheme="minorHAnsi"/>
              <w:noProof/>
              <w:color w:val="auto"/>
              <w:lang w:eastAsia="nl-NL"/>
            </w:rPr>
          </w:pPr>
          <w:hyperlink w:anchor="_Toc46135119" w:history="1">
            <w:r w:rsidR="00846DCD" w:rsidRPr="007E62D1">
              <w:rPr>
                <w:rStyle w:val="Hyperlink"/>
                <w:noProof/>
              </w:rPr>
              <w:t>Beschrijving van de organisatie</w:t>
            </w:r>
            <w:r w:rsidR="00846DCD">
              <w:rPr>
                <w:noProof/>
                <w:webHidden/>
              </w:rPr>
              <w:tab/>
            </w:r>
            <w:r w:rsidR="00846DCD">
              <w:rPr>
                <w:noProof/>
                <w:webHidden/>
              </w:rPr>
              <w:fldChar w:fldCharType="begin"/>
            </w:r>
            <w:r w:rsidR="00846DCD">
              <w:rPr>
                <w:noProof/>
                <w:webHidden/>
              </w:rPr>
              <w:instrText xml:space="preserve"> PAGEREF _Toc46135119 \h </w:instrText>
            </w:r>
            <w:r w:rsidR="00846DCD">
              <w:rPr>
                <w:noProof/>
                <w:webHidden/>
              </w:rPr>
            </w:r>
            <w:r w:rsidR="00846DCD">
              <w:rPr>
                <w:noProof/>
                <w:webHidden/>
              </w:rPr>
              <w:fldChar w:fldCharType="separate"/>
            </w:r>
            <w:r w:rsidR="0022105D">
              <w:rPr>
                <w:noProof/>
                <w:webHidden/>
              </w:rPr>
              <w:t>2</w:t>
            </w:r>
            <w:r w:rsidR="00846DCD">
              <w:rPr>
                <w:noProof/>
                <w:webHidden/>
              </w:rPr>
              <w:fldChar w:fldCharType="end"/>
            </w:r>
          </w:hyperlink>
        </w:p>
        <w:p w14:paraId="034FA031" w14:textId="0D13F9B1" w:rsidR="00846DCD" w:rsidRDefault="007B56E9">
          <w:pPr>
            <w:pStyle w:val="Inhopg1"/>
            <w:tabs>
              <w:tab w:val="right" w:leader="dot" w:pos="9062"/>
            </w:tabs>
            <w:rPr>
              <w:rFonts w:asciiTheme="minorHAnsi" w:eastAsiaTheme="minorEastAsia" w:hAnsiTheme="minorHAnsi"/>
              <w:noProof/>
              <w:color w:val="auto"/>
              <w:lang w:eastAsia="nl-NL"/>
            </w:rPr>
          </w:pPr>
          <w:hyperlink w:anchor="_Toc46135120" w:history="1">
            <w:r w:rsidR="00846DCD" w:rsidRPr="007E62D1">
              <w:rPr>
                <w:rStyle w:val="Hyperlink"/>
                <w:noProof/>
              </w:rPr>
              <w:t>Verantwoordelijke</w:t>
            </w:r>
            <w:r w:rsidR="00846DCD">
              <w:rPr>
                <w:noProof/>
                <w:webHidden/>
              </w:rPr>
              <w:tab/>
            </w:r>
            <w:r w:rsidR="00846DCD">
              <w:rPr>
                <w:noProof/>
                <w:webHidden/>
              </w:rPr>
              <w:fldChar w:fldCharType="begin"/>
            </w:r>
            <w:r w:rsidR="00846DCD">
              <w:rPr>
                <w:noProof/>
                <w:webHidden/>
              </w:rPr>
              <w:instrText xml:space="preserve"> PAGEREF _Toc46135120 \h </w:instrText>
            </w:r>
            <w:r w:rsidR="00846DCD">
              <w:rPr>
                <w:noProof/>
                <w:webHidden/>
              </w:rPr>
            </w:r>
            <w:r w:rsidR="00846DCD">
              <w:rPr>
                <w:noProof/>
                <w:webHidden/>
              </w:rPr>
              <w:fldChar w:fldCharType="separate"/>
            </w:r>
            <w:r w:rsidR="0022105D">
              <w:rPr>
                <w:noProof/>
                <w:webHidden/>
              </w:rPr>
              <w:t>2</w:t>
            </w:r>
            <w:r w:rsidR="00846DCD">
              <w:rPr>
                <w:noProof/>
                <w:webHidden/>
              </w:rPr>
              <w:fldChar w:fldCharType="end"/>
            </w:r>
          </w:hyperlink>
        </w:p>
        <w:p w14:paraId="20C116D3" w14:textId="156999B6" w:rsidR="00846DCD" w:rsidRDefault="007B56E9">
          <w:pPr>
            <w:pStyle w:val="Inhopg1"/>
            <w:tabs>
              <w:tab w:val="right" w:leader="dot" w:pos="9062"/>
            </w:tabs>
            <w:rPr>
              <w:rFonts w:asciiTheme="minorHAnsi" w:eastAsiaTheme="minorEastAsia" w:hAnsiTheme="minorHAnsi"/>
              <w:noProof/>
              <w:color w:val="auto"/>
              <w:lang w:eastAsia="nl-NL"/>
            </w:rPr>
          </w:pPr>
          <w:hyperlink w:anchor="_Toc46135121" w:history="1">
            <w:r w:rsidR="00846DCD" w:rsidRPr="007E62D1">
              <w:rPr>
                <w:rStyle w:val="Hyperlink"/>
                <w:noProof/>
              </w:rPr>
              <w:t>Basisjaar en rapportage</w:t>
            </w:r>
            <w:r w:rsidR="00846DCD">
              <w:rPr>
                <w:noProof/>
                <w:webHidden/>
              </w:rPr>
              <w:tab/>
            </w:r>
            <w:r w:rsidR="00846DCD">
              <w:rPr>
                <w:noProof/>
                <w:webHidden/>
              </w:rPr>
              <w:fldChar w:fldCharType="begin"/>
            </w:r>
            <w:r w:rsidR="00846DCD">
              <w:rPr>
                <w:noProof/>
                <w:webHidden/>
              </w:rPr>
              <w:instrText xml:space="preserve"> PAGEREF _Toc46135121 \h </w:instrText>
            </w:r>
            <w:r w:rsidR="00846DCD">
              <w:rPr>
                <w:noProof/>
                <w:webHidden/>
              </w:rPr>
            </w:r>
            <w:r w:rsidR="00846DCD">
              <w:rPr>
                <w:noProof/>
                <w:webHidden/>
              </w:rPr>
              <w:fldChar w:fldCharType="separate"/>
            </w:r>
            <w:r w:rsidR="0022105D">
              <w:rPr>
                <w:noProof/>
                <w:webHidden/>
              </w:rPr>
              <w:t>2</w:t>
            </w:r>
            <w:r w:rsidR="00846DCD">
              <w:rPr>
                <w:noProof/>
                <w:webHidden/>
              </w:rPr>
              <w:fldChar w:fldCharType="end"/>
            </w:r>
          </w:hyperlink>
        </w:p>
        <w:p w14:paraId="2A9557C6" w14:textId="532FBDE4" w:rsidR="00846DCD" w:rsidRDefault="007B56E9">
          <w:pPr>
            <w:pStyle w:val="Inhopg1"/>
            <w:tabs>
              <w:tab w:val="right" w:leader="dot" w:pos="9062"/>
            </w:tabs>
            <w:rPr>
              <w:rFonts w:asciiTheme="minorHAnsi" w:eastAsiaTheme="minorEastAsia" w:hAnsiTheme="minorHAnsi"/>
              <w:noProof/>
              <w:color w:val="auto"/>
              <w:lang w:eastAsia="nl-NL"/>
            </w:rPr>
          </w:pPr>
          <w:hyperlink w:anchor="_Toc46135122" w:history="1">
            <w:r w:rsidR="00846DCD" w:rsidRPr="007E62D1">
              <w:rPr>
                <w:rStyle w:val="Hyperlink"/>
                <w:noProof/>
              </w:rPr>
              <w:t>Afbakening</w:t>
            </w:r>
            <w:r w:rsidR="00846DCD">
              <w:rPr>
                <w:noProof/>
                <w:webHidden/>
              </w:rPr>
              <w:tab/>
            </w:r>
            <w:r w:rsidR="00846DCD">
              <w:rPr>
                <w:noProof/>
                <w:webHidden/>
              </w:rPr>
              <w:fldChar w:fldCharType="begin"/>
            </w:r>
            <w:r w:rsidR="00846DCD">
              <w:rPr>
                <w:noProof/>
                <w:webHidden/>
              </w:rPr>
              <w:instrText xml:space="preserve"> PAGEREF _Toc46135122 \h </w:instrText>
            </w:r>
            <w:r w:rsidR="00846DCD">
              <w:rPr>
                <w:noProof/>
                <w:webHidden/>
              </w:rPr>
            </w:r>
            <w:r w:rsidR="00846DCD">
              <w:rPr>
                <w:noProof/>
                <w:webHidden/>
              </w:rPr>
              <w:fldChar w:fldCharType="separate"/>
            </w:r>
            <w:r w:rsidR="0022105D">
              <w:rPr>
                <w:noProof/>
                <w:webHidden/>
              </w:rPr>
              <w:t>2</w:t>
            </w:r>
            <w:r w:rsidR="00846DCD">
              <w:rPr>
                <w:noProof/>
                <w:webHidden/>
              </w:rPr>
              <w:fldChar w:fldCharType="end"/>
            </w:r>
          </w:hyperlink>
        </w:p>
        <w:p w14:paraId="3E551D79" w14:textId="0A6C6D0D" w:rsidR="00846DCD" w:rsidRDefault="007B56E9">
          <w:pPr>
            <w:pStyle w:val="Inhopg1"/>
            <w:tabs>
              <w:tab w:val="right" w:leader="dot" w:pos="9062"/>
            </w:tabs>
            <w:rPr>
              <w:rFonts w:asciiTheme="minorHAnsi" w:eastAsiaTheme="minorEastAsia" w:hAnsiTheme="minorHAnsi"/>
              <w:noProof/>
              <w:color w:val="auto"/>
              <w:lang w:eastAsia="nl-NL"/>
            </w:rPr>
          </w:pPr>
          <w:hyperlink w:anchor="_Toc46135123" w:history="1">
            <w:r w:rsidR="00846DCD" w:rsidRPr="007E62D1">
              <w:rPr>
                <w:rStyle w:val="Hyperlink"/>
                <w:noProof/>
              </w:rPr>
              <w:t>Directe en indirecte GHG-emissies</w:t>
            </w:r>
            <w:r w:rsidR="00846DCD">
              <w:rPr>
                <w:noProof/>
                <w:webHidden/>
              </w:rPr>
              <w:tab/>
            </w:r>
            <w:r w:rsidR="00846DCD">
              <w:rPr>
                <w:noProof/>
                <w:webHidden/>
              </w:rPr>
              <w:fldChar w:fldCharType="begin"/>
            </w:r>
            <w:r w:rsidR="00846DCD">
              <w:rPr>
                <w:noProof/>
                <w:webHidden/>
              </w:rPr>
              <w:instrText xml:space="preserve"> PAGEREF _Toc46135123 \h </w:instrText>
            </w:r>
            <w:r w:rsidR="00846DCD">
              <w:rPr>
                <w:noProof/>
                <w:webHidden/>
              </w:rPr>
            </w:r>
            <w:r w:rsidR="00846DCD">
              <w:rPr>
                <w:noProof/>
                <w:webHidden/>
              </w:rPr>
              <w:fldChar w:fldCharType="separate"/>
            </w:r>
            <w:r w:rsidR="0022105D">
              <w:rPr>
                <w:noProof/>
                <w:webHidden/>
              </w:rPr>
              <w:t>3</w:t>
            </w:r>
            <w:r w:rsidR="00846DCD">
              <w:rPr>
                <w:noProof/>
                <w:webHidden/>
              </w:rPr>
              <w:fldChar w:fldCharType="end"/>
            </w:r>
          </w:hyperlink>
        </w:p>
        <w:p w14:paraId="62587CED" w14:textId="2C434694" w:rsidR="00846DCD" w:rsidRDefault="007B56E9">
          <w:pPr>
            <w:pStyle w:val="Inhopg1"/>
            <w:tabs>
              <w:tab w:val="right" w:leader="dot" w:pos="9062"/>
            </w:tabs>
            <w:rPr>
              <w:rFonts w:asciiTheme="minorHAnsi" w:eastAsiaTheme="minorEastAsia" w:hAnsiTheme="minorHAnsi"/>
              <w:noProof/>
              <w:color w:val="auto"/>
              <w:lang w:eastAsia="nl-NL"/>
            </w:rPr>
          </w:pPr>
          <w:hyperlink w:anchor="_Toc46135124" w:history="1">
            <w:r w:rsidR="00846DCD" w:rsidRPr="007E62D1">
              <w:rPr>
                <w:rStyle w:val="Hyperlink"/>
                <w:noProof/>
              </w:rPr>
              <w:t>Kwantificeringsmethoden</w:t>
            </w:r>
            <w:r w:rsidR="00846DCD">
              <w:rPr>
                <w:noProof/>
                <w:webHidden/>
              </w:rPr>
              <w:tab/>
            </w:r>
            <w:r w:rsidR="00846DCD">
              <w:rPr>
                <w:noProof/>
                <w:webHidden/>
              </w:rPr>
              <w:fldChar w:fldCharType="begin"/>
            </w:r>
            <w:r w:rsidR="00846DCD">
              <w:rPr>
                <w:noProof/>
                <w:webHidden/>
              </w:rPr>
              <w:instrText xml:space="preserve"> PAGEREF _Toc46135124 \h </w:instrText>
            </w:r>
            <w:r w:rsidR="00846DCD">
              <w:rPr>
                <w:noProof/>
                <w:webHidden/>
              </w:rPr>
            </w:r>
            <w:r w:rsidR="00846DCD">
              <w:rPr>
                <w:noProof/>
                <w:webHidden/>
              </w:rPr>
              <w:fldChar w:fldCharType="separate"/>
            </w:r>
            <w:r w:rsidR="0022105D">
              <w:rPr>
                <w:noProof/>
                <w:webHidden/>
              </w:rPr>
              <w:t>4</w:t>
            </w:r>
            <w:r w:rsidR="00846DCD">
              <w:rPr>
                <w:noProof/>
                <w:webHidden/>
              </w:rPr>
              <w:fldChar w:fldCharType="end"/>
            </w:r>
          </w:hyperlink>
        </w:p>
        <w:p w14:paraId="77BD855B" w14:textId="4CAA2C89" w:rsidR="00846DCD" w:rsidRDefault="007B56E9">
          <w:pPr>
            <w:pStyle w:val="Inhopg1"/>
            <w:tabs>
              <w:tab w:val="right" w:leader="dot" w:pos="9062"/>
            </w:tabs>
            <w:rPr>
              <w:rFonts w:asciiTheme="minorHAnsi" w:eastAsiaTheme="minorEastAsia" w:hAnsiTheme="minorHAnsi"/>
              <w:noProof/>
              <w:color w:val="auto"/>
              <w:lang w:eastAsia="nl-NL"/>
            </w:rPr>
          </w:pPr>
          <w:hyperlink w:anchor="_Toc46135125" w:history="1">
            <w:r w:rsidR="00846DCD" w:rsidRPr="007E62D1">
              <w:rPr>
                <w:rStyle w:val="Hyperlink"/>
                <w:noProof/>
              </w:rPr>
              <w:t>Emissiefactoren</w:t>
            </w:r>
            <w:r w:rsidR="00846DCD">
              <w:rPr>
                <w:noProof/>
                <w:webHidden/>
              </w:rPr>
              <w:tab/>
            </w:r>
            <w:r w:rsidR="00846DCD">
              <w:rPr>
                <w:noProof/>
                <w:webHidden/>
              </w:rPr>
              <w:fldChar w:fldCharType="begin"/>
            </w:r>
            <w:r w:rsidR="00846DCD">
              <w:rPr>
                <w:noProof/>
                <w:webHidden/>
              </w:rPr>
              <w:instrText xml:space="preserve"> PAGEREF _Toc46135125 \h </w:instrText>
            </w:r>
            <w:r w:rsidR="00846DCD">
              <w:rPr>
                <w:noProof/>
                <w:webHidden/>
              </w:rPr>
            </w:r>
            <w:r w:rsidR="00846DCD">
              <w:rPr>
                <w:noProof/>
                <w:webHidden/>
              </w:rPr>
              <w:fldChar w:fldCharType="separate"/>
            </w:r>
            <w:r w:rsidR="0022105D">
              <w:rPr>
                <w:noProof/>
                <w:webHidden/>
              </w:rPr>
              <w:t>5</w:t>
            </w:r>
            <w:r w:rsidR="00846DCD">
              <w:rPr>
                <w:noProof/>
                <w:webHidden/>
              </w:rPr>
              <w:fldChar w:fldCharType="end"/>
            </w:r>
          </w:hyperlink>
        </w:p>
        <w:p w14:paraId="3CB1FE87" w14:textId="13E82E28" w:rsidR="00846DCD" w:rsidRDefault="007B56E9">
          <w:pPr>
            <w:pStyle w:val="Inhopg1"/>
            <w:tabs>
              <w:tab w:val="right" w:leader="dot" w:pos="9062"/>
            </w:tabs>
            <w:rPr>
              <w:rFonts w:asciiTheme="minorHAnsi" w:eastAsiaTheme="minorEastAsia" w:hAnsiTheme="minorHAnsi"/>
              <w:noProof/>
              <w:color w:val="auto"/>
              <w:lang w:eastAsia="nl-NL"/>
            </w:rPr>
          </w:pPr>
          <w:hyperlink w:anchor="_Toc46135126" w:history="1">
            <w:r w:rsidR="00846DCD" w:rsidRPr="007E62D1">
              <w:rPr>
                <w:rStyle w:val="Hyperlink"/>
                <w:noProof/>
              </w:rPr>
              <w:t>Onzekerheden</w:t>
            </w:r>
            <w:r w:rsidR="00846DCD">
              <w:rPr>
                <w:noProof/>
                <w:webHidden/>
              </w:rPr>
              <w:tab/>
            </w:r>
            <w:r w:rsidR="00846DCD">
              <w:rPr>
                <w:noProof/>
                <w:webHidden/>
              </w:rPr>
              <w:fldChar w:fldCharType="begin"/>
            </w:r>
            <w:r w:rsidR="00846DCD">
              <w:rPr>
                <w:noProof/>
                <w:webHidden/>
              </w:rPr>
              <w:instrText xml:space="preserve"> PAGEREF _Toc46135126 \h </w:instrText>
            </w:r>
            <w:r w:rsidR="00846DCD">
              <w:rPr>
                <w:noProof/>
                <w:webHidden/>
              </w:rPr>
            </w:r>
            <w:r w:rsidR="00846DCD">
              <w:rPr>
                <w:noProof/>
                <w:webHidden/>
              </w:rPr>
              <w:fldChar w:fldCharType="separate"/>
            </w:r>
            <w:r w:rsidR="0022105D">
              <w:rPr>
                <w:noProof/>
                <w:webHidden/>
              </w:rPr>
              <w:t>5</w:t>
            </w:r>
            <w:r w:rsidR="00846DCD">
              <w:rPr>
                <w:noProof/>
                <w:webHidden/>
              </w:rPr>
              <w:fldChar w:fldCharType="end"/>
            </w:r>
          </w:hyperlink>
        </w:p>
        <w:p w14:paraId="137E4E4C" w14:textId="14B3E455" w:rsidR="00846DCD" w:rsidRDefault="007B56E9">
          <w:pPr>
            <w:pStyle w:val="Inhopg1"/>
            <w:tabs>
              <w:tab w:val="right" w:leader="dot" w:pos="9062"/>
            </w:tabs>
            <w:rPr>
              <w:rFonts w:asciiTheme="minorHAnsi" w:eastAsiaTheme="minorEastAsia" w:hAnsiTheme="minorHAnsi"/>
              <w:noProof/>
              <w:color w:val="auto"/>
              <w:lang w:eastAsia="nl-NL"/>
            </w:rPr>
          </w:pPr>
          <w:hyperlink w:anchor="_Toc46135127" w:history="1">
            <w:r w:rsidR="00846DCD" w:rsidRPr="007E62D1">
              <w:rPr>
                <w:rStyle w:val="Hyperlink"/>
                <w:noProof/>
              </w:rPr>
              <w:t>Rapportage volgens ISO 14064 deel 7</w:t>
            </w:r>
            <w:r w:rsidR="00846DCD">
              <w:rPr>
                <w:noProof/>
                <w:webHidden/>
              </w:rPr>
              <w:tab/>
            </w:r>
            <w:r w:rsidR="00846DCD">
              <w:rPr>
                <w:noProof/>
                <w:webHidden/>
              </w:rPr>
              <w:fldChar w:fldCharType="begin"/>
            </w:r>
            <w:r w:rsidR="00846DCD">
              <w:rPr>
                <w:noProof/>
                <w:webHidden/>
              </w:rPr>
              <w:instrText xml:space="preserve"> PAGEREF _Toc46135127 \h </w:instrText>
            </w:r>
            <w:r w:rsidR="00846DCD">
              <w:rPr>
                <w:noProof/>
                <w:webHidden/>
              </w:rPr>
            </w:r>
            <w:r w:rsidR="00846DCD">
              <w:rPr>
                <w:noProof/>
                <w:webHidden/>
              </w:rPr>
              <w:fldChar w:fldCharType="separate"/>
            </w:r>
            <w:r w:rsidR="0022105D">
              <w:rPr>
                <w:noProof/>
                <w:webHidden/>
              </w:rPr>
              <w:t>5</w:t>
            </w:r>
            <w:r w:rsidR="00846DCD">
              <w:rPr>
                <w:noProof/>
                <w:webHidden/>
              </w:rPr>
              <w:fldChar w:fldCharType="end"/>
            </w:r>
          </w:hyperlink>
        </w:p>
        <w:p w14:paraId="6F8E777F" w14:textId="77777777" w:rsidR="00846DCD" w:rsidRDefault="00846DCD">
          <w:r>
            <w:rPr>
              <w:b/>
              <w:bCs/>
            </w:rPr>
            <w:fldChar w:fldCharType="end"/>
          </w:r>
        </w:p>
      </w:sdtContent>
    </w:sdt>
    <w:p w14:paraId="478B44B0" w14:textId="77777777" w:rsidR="00846DCD" w:rsidRDefault="00846DCD">
      <w:pPr>
        <w:rPr>
          <w:rFonts w:eastAsiaTheme="majorEastAsia" w:cstheme="majorBidi"/>
          <w:b/>
          <w:szCs w:val="32"/>
        </w:rPr>
      </w:pPr>
      <w:bookmarkStart w:id="0" w:name="_Toc46135118"/>
      <w:r>
        <w:br w:type="page"/>
      </w:r>
    </w:p>
    <w:p w14:paraId="44D6F006" w14:textId="77777777" w:rsidR="00AA6E37" w:rsidRPr="00AA6E37" w:rsidRDefault="00AA6E37" w:rsidP="00334D6D">
      <w:pPr>
        <w:pStyle w:val="Kop1"/>
        <w:numPr>
          <w:ilvl w:val="0"/>
          <w:numId w:val="1"/>
        </w:numPr>
      </w:pPr>
      <w:r w:rsidRPr="00AA6E37">
        <w:lastRenderedPageBreak/>
        <w:t>Inleiding en verantwoording</w:t>
      </w:r>
      <w:bookmarkEnd w:id="0"/>
    </w:p>
    <w:p w14:paraId="04C2F917" w14:textId="01EFA5C3" w:rsidR="00AA6E37" w:rsidRDefault="00AA6E37" w:rsidP="00AA6E37">
      <w:pPr>
        <w:pStyle w:val="Geenafstand"/>
      </w:pPr>
      <w:r>
        <w:t xml:space="preserve">In dit rapport wordt de emissie inventaris over </w:t>
      </w:r>
      <w:r w:rsidR="00A27A7C">
        <w:t>2</w:t>
      </w:r>
      <w:r w:rsidR="00372906">
        <w:t>020</w:t>
      </w:r>
      <w:r w:rsidR="00A27A7C">
        <w:t xml:space="preserve"> </w:t>
      </w:r>
      <w:r>
        <w:t>besproken en richt zich op invalshoek A (inzicht) van de CO2 prestatieladder. De CO2 voetafdruk geeft een inventarisatie van de totale hoeveelheid uitgestoten broeikasgassen: de GHG emissies. Daarnaast geeft het inzicht in de herkomst van deze emissies met een verdeling naar directe en indirecte GHG emis</w:t>
      </w:r>
      <w:r w:rsidR="00AE6EBE">
        <w:t xml:space="preserve">sies (respectievelijk scope 1, </w:t>
      </w:r>
      <w:r>
        <w:t>scope 2</w:t>
      </w:r>
      <w:r w:rsidR="00AE6EBE">
        <w:t xml:space="preserve"> en business travel</w:t>
      </w:r>
      <w:r>
        <w:t>).</w:t>
      </w:r>
    </w:p>
    <w:p w14:paraId="46DA91D7" w14:textId="77777777" w:rsidR="00AA6E37" w:rsidRDefault="00AA6E37" w:rsidP="00AA6E37">
      <w:pPr>
        <w:pStyle w:val="Geenafstand"/>
      </w:pPr>
    </w:p>
    <w:p w14:paraId="4A19BE92" w14:textId="77777777" w:rsidR="00AA6E37" w:rsidRDefault="00AA6E37" w:rsidP="00AA6E37">
      <w:pPr>
        <w:pStyle w:val="Geenafstand"/>
      </w:pPr>
      <w:r>
        <w:t>De inventarisatie is een verantwoording van onderdeel 3.A.1 uit de prestatieladder en is uit</w:t>
      </w:r>
      <w:r w:rsidR="00AE6EBE">
        <w:t>gevoerd conform de ISO 14064-1:2018.</w:t>
      </w:r>
      <w:r>
        <w:t xml:space="preserve">  In dit rapport wordt de voetprint gerapporteerd volgens § </w:t>
      </w:r>
      <w:r w:rsidR="00AE6EBE">
        <w:t>9</w:t>
      </w:r>
      <w:r>
        <w:t>.3.1 van deze norm, in het laatste hoofdstuk is hiertoe een cross reference table opgenomen.</w:t>
      </w:r>
    </w:p>
    <w:p w14:paraId="58B0BC3B" w14:textId="77777777" w:rsidR="00AA6E37" w:rsidRPr="00A27A7C" w:rsidRDefault="00AA6E37" w:rsidP="00334D6D">
      <w:pPr>
        <w:pStyle w:val="Kop1"/>
        <w:numPr>
          <w:ilvl w:val="0"/>
          <w:numId w:val="1"/>
        </w:numPr>
      </w:pPr>
      <w:bookmarkStart w:id="1" w:name="_Toc46135119"/>
      <w:r w:rsidRPr="00A27A7C">
        <w:t>Beschrijving van de organisatie</w:t>
      </w:r>
      <w:bookmarkEnd w:id="1"/>
    </w:p>
    <w:p w14:paraId="0F32116E" w14:textId="77777777" w:rsidR="00AA6E37" w:rsidRDefault="00A27A7C" w:rsidP="00AA6E37">
      <w:pPr>
        <w:pStyle w:val="Geenafstand"/>
      </w:pPr>
      <w:r w:rsidRPr="00A27A7C">
        <w:t xml:space="preserve">VOF Kennes </w:t>
      </w:r>
      <w:r>
        <w:t xml:space="preserve">is een middelgroot bedrijf met </w:t>
      </w:r>
      <w:r w:rsidR="00B9051C">
        <w:t>1</w:t>
      </w:r>
      <w:r w:rsidR="00ED027E">
        <w:t>5</w:t>
      </w:r>
      <w:r>
        <w:t xml:space="preserve"> medewerkers en vestigingen in Strijbeek en Bavel. De activiteiten richten zich op grondverzet, cultuurtechnische werkzaamheden en agrarisch loonwerk, mestdistributie en verkoop van aanverwante producten. </w:t>
      </w:r>
    </w:p>
    <w:p w14:paraId="0ED37551" w14:textId="59EAD4BE" w:rsidR="00A27A7C" w:rsidRDefault="00A27A7C" w:rsidP="00AA6E37">
      <w:pPr>
        <w:pStyle w:val="Geenafstand"/>
      </w:pPr>
      <w:r>
        <w:t>Ons bedrijf is ISO 9001</w:t>
      </w:r>
      <w:r w:rsidR="00372906">
        <w:t>,</w:t>
      </w:r>
      <w:r>
        <w:t xml:space="preserve"> VCA*</w:t>
      </w:r>
      <w:r w:rsidR="00372906">
        <w:t xml:space="preserve"> en VKL </w:t>
      </w:r>
      <w:r>
        <w:t xml:space="preserve">gecertificeerd en </w:t>
      </w:r>
      <w:r w:rsidR="00372906">
        <w:t xml:space="preserve">sinds vorig jaar beschikken we ook over het </w:t>
      </w:r>
      <w:r>
        <w:t xml:space="preserve"> certificaat CO2 Prestatieladder trede </w:t>
      </w:r>
      <w:r w:rsidR="00372906">
        <w:t>3</w:t>
      </w:r>
      <w:r>
        <w:t>.</w:t>
      </w:r>
    </w:p>
    <w:p w14:paraId="61485B6C" w14:textId="77777777" w:rsidR="00AA6E37" w:rsidRPr="00AA6E37" w:rsidRDefault="00AA6E37" w:rsidP="00334D6D">
      <w:pPr>
        <w:pStyle w:val="Kop1"/>
        <w:numPr>
          <w:ilvl w:val="0"/>
          <w:numId w:val="1"/>
        </w:numPr>
      </w:pPr>
      <w:bookmarkStart w:id="2" w:name="_Toc46135120"/>
      <w:r w:rsidRPr="00AA6E37">
        <w:t>Verantwoordelijke</w:t>
      </w:r>
      <w:bookmarkEnd w:id="2"/>
    </w:p>
    <w:p w14:paraId="2FE82483" w14:textId="77777777" w:rsidR="00AA6E37" w:rsidRDefault="00AA6E37" w:rsidP="00AA6E37">
      <w:pPr>
        <w:pStyle w:val="Geenafstand"/>
      </w:pPr>
      <w:r>
        <w:t xml:space="preserve">De verantwoordelijkheid voor de stuurcyclus CO2 reductie alsmede alle activiteiten die hier aan gekoppeld zijn, zoals het behalen van de doelstellingen, is </w:t>
      </w:r>
      <w:r w:rsidR="00A27A7C">
        <w:t>Kris Kennes</w:t>
      </w:r>
      <w:r w:rsidRPr="00A27A7C">
        <w:t>. Hij</w:t>
      </w:r>
      <w:r>
        <w:t xml:space="preserve"> rapporteert rechtstreeks aan de directie.</w:t>
      </w:r>
    </w:p>
    <w:p w14:paraId="77CD8D1A" w14:textId="77777777" w:rsidR="00AA6E37" w:rsidRPr="00AA6E37" w:rsidRDefault="00AA6E37" w:rsidP="00334D6D">
      <w:pPr>
        <w:pStyle w:val="Kop1"/>
        <w:numPr>
          <w:ilvl w:val="0"/>
          <w:numId w:val="1"/>
        </w:numPr>
      </w:pPr>
      <w:bookmarkStart w:id="3" w:name="_Toc46135121"/>
      <w:r w:rsidRPr="00AA6E37">
        <w:t>Basisjaar en rapportage</w:t>
      </w:r>
      <w:bookmarkEnd w:id="3"/>
    </w:p>
    <w:p w14:paraId="25EBAEA1" w14:textId="01294BB1" w:rsidR="00276116" w:rsidRDefault="00A27A7C" w:rsidP="00AA6E37">
      <w:pPr>
        <w:pStyle w:val="Geenafstand"/>
      </w:pPr>
      <w:r>
        <w:t>Dit rapport betreft het jaar 2</w:t>
      </w:r>
      <w:r w:rsidR="00276116">
        <w:t>020</w:t>
      </w:r>
      <w:r w:rsidR="00AA6E37">
        <w:t xml:space="preserve"> en jaar </w:t>
      </w:r>
      <w:r w:rsidR="00276116">
        <w:t xml:space="preserve">2019 </w:t>
      </w:r>
      <w:r w:rsidR="00AA6E37">
        <w:t>dient als referentiejaar voor de CO2-reductiedoelstellingen. Tijdens het schrijven van dit rapport zijn de cijfers van het lopende jaar</w:t>
      </w:r>
      <w:r w:rsidR="00276116">
        <w:t xml:space="preserve"> (2021)</w:t>
      </w:r>
      <w:r w:rsidR="00AA6E37">
        <w:t xml:space="preserve"> nog niet beschikbaar. </w:t>
      </w:r>
    </w:p>
    <w:p w14:paraId="23AB24A5" w14:textId="4E85E183" w:rsidR="00AA6E37" w:rsidRDefault="00AA6E37" w:rsidP="00AA6E37">
      <w:pPr>
        <w:pStyle w:val="Geenafstand"/>
      </w:pPr>
      <w:r>
        <w:t xml:space="preserve">Er kan </w:t>
      </w:r>
      <w:r w:rsidR="00276116">
        <w:t xml:space="preserve">een </w:t>
      </w:r>
      <w:r>
        <w:t xml:space="preserve">vergelijking </w:t>
      </w:r>
      <w:r w:rsidR="00276116">
        <w:t xml:space="preserve">worden </w:t>
      </w:r>
      <w:r>
        <w:t xml:space="preserve">gemaakt </w:t>
      </w:r>
      <w:r w:rsidR="00276116">
        <w:t>van</w:t>
      </w:r>
      <w:r w:rsidR="00DD5F51">
        <w:t xml:space="preserve"> het jaar</w:t>
      </w:r>
      <w:r w:rsidR="00276116">
        <w:t xml:space="preserve"> 2020 t.o.v</w:t>
      </w:r>
      <w:r>
        <w:t>.</w:t>
      </w:r>
      <w:r w:rsidR="00DD5F51">
        <w:t xml:space="preserve"> 2019.</w:t>
      </w:r>
      <w:r w:rsidR="00276116">
        <w:t xml:space="preserve"> </w:t>
      </w:r>
    </w:p>
    <w:p w14:paraId="77A98DB4" w14:textId="77777777" w:rsidR="00AA6E37" w:rsidRPr="00AA6E37" w:rsidRDefault="00AA6E37" w:rsidP="00334D6D">
      <w:pPr>
        <w:pStyle w:val="Kop1"/>
        <w:numPr>
          <w:ilvl w:val="0"/>
          <w:numId w:val="1"/>
        </w:numPr>
      </w:pPr>
      <w:bookmarkStart w:id="4" w:name="_Toc46135122"/>
      <w:r w:rsidRPr="00AA6E37">
        <w:t>Afbakening</w:t>
      </w:r>
      <w:bookmarkEnd w:id="4"/>
      <w:r w:rsidRPr="00AA6E37">
        <w:t xml:space="preserve"> </w:t>
      </w:r>
    </w:p>
    <w:p w14:paraId="3EAE2255" w14:textId="77777777" w:rsidR="00AA6E37" w:rsidRDefault="00AA6E37" w:rsidP="00AA6E37">
      <w:pPr>
        <w:pStyle w:val="Geenafstand"/>
      </w:pPr>
      <w:r>
        <w:t xml:space="preserve">In hoofdstuk 3 van het GHG protocol worden twee methodes beschreven waarop de “organizational boundary” kan worden bepaald, de GHG methode en de Laterale Methode. </w:t>
      </w:r>
      <w:r w:rsidR="00A27A7C">
        <w:t>VOF Kennes</w:t>
      </w:r>
      <w:r w:rsidRPr="00A27A7C">
        <w:t xml:space="preserve"> heeft ervoor gekozen om de GHG methode te hanteren. Als Boundary wordt gekozen: </w:t>
      </w:r>
      <w:r w:rsidR="00A27A7C">
        <w:t>VOF Kennes</w:t>
      </w:r>
      <w:r w:rsidRPr="00A27A7C">
        <w:t xml:space="preserve">. </w:t>
      </w:r>
      <w:r w:rsidR="00A27A7C">
        <w:t xml:space="preserve">Er zijn geen andere bedrijven </w:t>
      </w:r>
      <w:r w:rsidRPr="00A27A7C">
        <w:t xml:space="preserve">in de boundary opgenomen. Er wordt naar buiten getreden als </w:t>
      </w:r>
      <w:r w:rsidR="00A27A7C">
        <w:t>VOF Kennes</w:t>
      </w:r>
      <w:r w:rsidRPr="00A27A7C">
        <w:t>. Onderstaand wordt de juridische entiteit genoemd die geldt voor het berekenen van de CO2-footprint, de bijbehorende CO2-reductiedoelstellingen en ook als naam zal worden gebruikt</w:t>
      </w:r>
      <w:r>
        <w:t xml:space="preserve"> op het CO2-bewust certificaat.</w:t>
      </w:r>
    </w:p>
    <w:p w14:paraId="3967FF1B" w14:textId="77777777" w:rsidR="00AA6E37" w:rsidRDefault="00AA6E37" w:rsidP="00AA6E37">
      <w:pPr>
        <w:pStyle w:val="Geenafstand"/>
      </w:pPr>
    </w:p>
    <w:p w14:paraId="65B27BAF" w14:textId="77777777" w:rsidR="00AA6E37" w:rsidRPr="00AA6E37" w:rsidRDefault="00A27A7C" w:rsidP="00AA6E37">
      <w:pPr>
        <w:pStyle w:val="Geenafstand"/>
        <w:rPr>
          <w:b/>
        </w:rPr>
      </w:pPr>
      <w:r>
        <w:rPr>
          <w:b/>
        </w:rPr>
        <w:t>VOF Kennes</w:t>
      </w:r>
    </w:p>
    <w:p w14:paraId="0B3FD05A" w14:textId="77777777" w:rsidR="00AA6E37" w:rsidRDefault="008E5E57" w:rsidP="00AA6E37">
      <w:pPr>
        <w:pStyle w:val="Geenafstand"/>
      </w:pPr>
      <w:r>
        <w:t>Goudbe</w:t>
      </w:r>
      <w:r w:rsidR="00C01EEB">
        <w:t>r</w:t>
      </w:r>
      <w:r>
        <w:t>gseweg 11</w:t>
      </w:r>
    </w:p>
    <w:p w14:paraId="2A28D620" w14:textId="77777777" w:rsidR="008E5E57" w:rsidRDefault="008E5E57" w:rsidP="00AA6E37">
      <w:pPr>
        <w:pStyle w:val="Geenafstand"/>
      </w:pPr>
      <w:r>
        <w:t>4856 AD Strijbeek</w:t>
      </w:r>
    </w:p>
    <w:p w14:paraId="7BAB63C3" w14:textId="77777777" w:rsidR="00AA6E37" w:rsidRPr="00AA6E37" w:rsidRDefault="00AA6E37" w:rsidP="00AA6E37">
      <w:pPr>
        <w:pStyle w:val="Geenafstand"/>
        <w:rPr>
          <w:b/>
        </w:rPr>
      </w:pPr>
      <w:r w:rsidRPr="00AA6E37">
        <w:rPr>
          <w:b/>
        </w:rPr>
        <w:t>Met inbegrip van vestiging</w:t>
      </w:r>
    </w:p>
    <w:p w14:paraId="791F1D62" w14:textId="77777777" w:rsidR="00AA6E37" w:rsidRDefault="008E5E57" w:rsidP="00AA6E37">
      <w:pPr>
        <w:pStyle w:val="Geenafstand"/>
      </w:pPr>
      <w:r w:rsidRPr="008E5E57">
        <w:t>Bavel: Bolbergseweg</w:t>
      </w:r>
      <w:r>
        <w:t xml:space="preserve"> 6</w:t>
      </w:r>
    </w:p>
    <w:p w14:paraId="39B72805" w14:textId="77777777" w:rsidR="00AA6E37" w:rsidRDefault="00AA6E37" w:rsidP="00AA6E37">
      <w:pPr>
        <w:pStyle w:val="Geenafstand"/>
      </w:pPr>
    </w:p>
    <w:p w14:paraId="4287258D" w14:textId="77777777" w:rsidR="00AA6E37" w:rsidRPr="00AA6E37" w:rsidRDefault="00AA6E37" w:rsidP="00AA6E37">
      <w:pPr>
        <w:pStyle w:val="Geenafstand"/>
        <w:rPr>
          <w:b/>
        </w:rPr>
      </w:pPr>
      <w:r w:rsidRPr="00AA6E37">
        <w:rPr>
          <w:b/>
        </w:rPr>
        <w:t>En dochterondernemingen</w:t>
      </w:r>
    </w:p>
    <w:p w14:paraId="55B874FA" w14:textId="77777777" w:rsidR="00AA6E37" w:rsidRDefault="00AA6E37" w:rsidP="00AA6E37">
      <w:pPr>
        <w:pStyle w:val="Geenafstand"/>
      </w:pPr>
      <w:r w:rsidRPr="008E5E57">
        <w:t>Geen</w:t>
      </w:r>
    </w:p>
    <w:p w14:paraId="206C8419" w14:textId="77777777" w:rsidR="00AA6E37" w:rsidRDefault="00AA6E37" w:rsidP="00AA6E37">
      <w:pPr>
        <w:pStyle w:val="Geenafstand"/>
      </w:pPr>
    </w:p>
    <w:p w14:paraId="7E146E6C" w14:textId="77777777" w:rsidR="00AA6E37" w:rsidRDefault="00AA6E37" w:rsidP="00AA6E37">
      <w:pPr>
        <w:pStyle w:val="Geenafstand"/>
      </w:pPr>
      <w:r w:rsidRPr="00AA6E37">
        <w:t>Dat wil zeggen</w:t>
      </w:r>
      <w:r>
        <w:t xml:space="preserve"> dat</w:t>
      </w:r>
      <w:r w:rsidRPr="00AA6E37">
        <w:t xml:space="preserve"> alle</w:t>
      </w:r>
      <w:r>
        <w:t xml:space="preserve"> operationele</w:t>
      </w:r>
      <w:r w:rsidRPr="00AA6E37">
        <w:t xml:space="preserve"> werkzaamheden </w:t>
      </w:r>
      <w:r>
        <w:t xml:space="preserve">door </w:t>
      </w:r>
      <w:r w:rsidR="008E5E57">
        <w:t>VOF Kennes</w:t>
      </w:r>
      <w:r w:rsidRPr="008E5E57">
        <w:t xml:space="preserve"> worden verricht, zoals ook ingeschreven bij de Kamer van Koophandel onder de naam </w:t>
      </w:r>
      <w:r w:rsidR="008E5E57">
        <w:t>VOF Kennes.</w:t>
      </w:r>
      <w:r w:rsidRPr="008E5E57">
        <w:t xml:space="preserve"> De</w:t>
      </w:r>
      <w:r w:rsidRPr="00AA6E37">
        <w:t xml:space="preserve"> daarbij behorende CO2-</w:t>
      </w:r>
      <w:r w:rsidRPr="00AA6E37">
        <w:lastRenderedPageBreak/>
        <w:t>uitstoot zal als input worden gebruikt voor het berekenen van de CO2-footprint. Onderstaand volgt verdere toelichting op deze boundary volgens de aandelen methode (equity share approach).</w:t>
      </w:r>
    </w:p>
    <w:p w14:paraId="70DD200A" w14:textId="77777777" w:rsidR="00846DCD" w:rsidRDefault="00846DCD" w:rsidP="00AA6E37">
      <w:pPr>
        <w:pStyle w:val="Geenafstand"/>
      </w:pPr>
    </w:p>
    <w:p w14:paraId="6E2314BE" w14:textId="77777777" w:rsidR="00AA6E37" w:rsidRDefault="008E5E57" w:rsidP="00AA6E37">
      <w:pPr>
        <w:pStyle w:val="Geenafstand"/>
      </w:pPr>
      <w:r>
        <w:t>VOF Kennes</w:t>
      </w:r>
      <w:r w:rsidR="00AA6E37" w:rsidRPr="008E5E57">
        <w:t>:</w:t>
      </w:r>
    </w:p>
    <w:p w14:paraId="52DFB9A1" w14:textId="77777777" w:rsidR="00AA6E37" w:rsidRDefault="00AA6E37" w:rsidP="00AA6E37">
      <w:pPr>
        <w:pStyle w:val="Geenafstand"/>
      </w:pPr>
      <w:r>
        <w:t>•</w:t>
      </w:r>
      <w:r>
        <w:tab/>
      </w:r>
      <w:r w:rsidR="008E5E57">
        <w:t>heeft twee eigenaren, te weten C.J.J.M Kennes en E.A.D.M. Kennes</w:t>
      </w:r>
      <w:r>
        <w:t>;</w:t>
      </w:r>
    </w:p>
    <w:p w14:paraId="6BE13206" w14:textId="77777777" w:rsidR="00AA6E37" w:rsidRDefault="00AA6E37" w:rsidP="00AA6E37">
      <w:pPr>
        <w:pStyle w:val="Geenafstand"/>
      </w:pPr>
      <w:r>
        <w:t>•</w:t>
      </w:r>
      <w:r>
        <w:tab/>
        <w:t>is geen onderdeel van een joint venture;</w:t>
      </w:r>
    </w:p>
    <w:p w14:paraId="3948F688" w14:textId="77777777" w:rsidR="00AA6E37" w:rsidRDefault="00AA6E37" w:rsidP="00AA6E37">
      <w:pPr>
        <w:pStyle w:val="Geenafstand"/>
      </w:pPr>
      <w:r>
        <w:t>•</w:t>
      </w:r>
      <w:r>
        <w:tab/>
        <w:t>heeft geen samenwerking met andere bedrijven waarvan zij ook aandelen bezit;</w:t>
      </w:r>
    </w:p>
    <w:p w14:paraId="3F269E0B" w14:textId="77777777" w:rsidR="00AA6E37" w:rsidRDefault="00AA6E37" w:rsidP="00AA6E37">
      <w:pPr>
        <w:pStyle w:val="Geenafstand"/>
      </w:pPr>
      <w:r>
        <w:t>•</w:t>
      </w:r>
      <w:r>
        <w:tab/>
        <w:t>heeft geen franchise activiteiten;</w:t>
      </w:r>
    </w:p>
    <w:p w14:paraId="4789CF48" w14:textId="77777777" w:rsidR="00AA6E37" w:rsidRDefault="00AA6E37" w:rsidP="00AA6E37">
      <w:pPr>
        <w:pStyle w:val="Geenafstand"/>
      </w:pPr>
      <w:r>
        <w:t>•</w:t>
      </w:r>
      <w:r>
        <w:tab/>
        <w:t>is geen A-leverancier van een ander bedrijf binnen hetzelfde concern/ holding;</w:t>
      </w:r>
    </w:p>
    <w:p w14:paraId="0CE1DB58" w14:textId="77777777" w:rsidR="00AA6E37" w:rsidRDefault="00AA6E37" w:rsidP="00AA6E37">
      <w:pPr>
        <w:pStyle w:val="Geenafstand"/>
      </w:pPr>
      <w:r>
        <w:t>•</w:t>
      </w:r>
      <w:r>
        <w:tab/>
        <w:t>heeft geen A-leveranciers die tevens concern-aanbieders zijn.</w:t>
      </w:r>
    </w:p>
    <w:p w14:paraId="4FA87ECF" w14:textId="77777777" w:rsidR="00AA6E37" w:rsidRPr="00AA6E37" w:rsidRDefault="00AA6E37" w:rsidP="005D3A0C">
      <w:pPr>
        <w:pStyle w:val="Kop1"/>
        <w:numPr>
          <w:ilvl w:val="0"/>
          <w:numId w:val="1"/>
        </w:numPr>
      </w:pPr>
      <w:bookmarkStart w:id="5" w:name="_Toc46135123"/>
      <w:r w:rsidRPr="00AA6E37">
        <w:t>Directe en indirecte GHG-emissies</w:t>
      </w:r>
      <w:bookmarkEnd w:id="5"/>
    </w:p>
    <w:p w14:paraId="0E159BC0" w14:textId="77777777" w:rsidR="00AA6E37" w:rsidRDefault="00AA6E37" w:rsidP="00AA6E37">
      <w:pPr>
        <w:pStyle w:val="Geenafstand"/>
      </w:pPr>
      <w:r>
        <w:t>In dit hoofdstuk worden de berekende GHG emissies toegelicht.</w:t>
      </w:r>
    </w:p>
    <w:p w14:paraId="6E04D257" w14:textId="77777777" w:rsidR="00AA6E37" w:rsidRDefault="00AA6E37" w:rsidP="00AA6E37">
      <w:pPr>
        <w:pStyle w:val="Geenafstand"/>
      </w:pPr>
    </w:p>
    <w:p w14:paraId="4A063948" w14:textId="77777777" w:rsidR="00AA6E37" w:rsidRDefault="00AA6E37" w:rsidP="005D3A0C">
      <w:pPr>
        <w:pStyle w:val="Geenafstand"/>
        <w:rPr>
          <w:b/>
        </w:rPr>
      </w:pPr>
      <w:r w:rsidRPr="00AA6E37">
        <w:rPr>
          <w:b/>
        </w:rPr>
        <w:t>Berekende GHG emissies</w:t>
      </w:r>
    </w:p>
    <w:p w14:paraId="6BD06BBA" w14:textId="44ACE5F0" w:rsidR="00AA6E37" w:rsidRDefault="00AA6E37" w:rsidP="00AA6E37">
      <w:pPr>
        <w:pStyle w:val="Geenafstand"/>
      </w:pPr>
      <w:r>
        <w:t xml:space="preserve">De directe en indirecte GHG emissie bedroeg in </w:t>
      </w:r>
      <w:r w:rsidR="008E5E57">
        <w:t>20</w:t>
      </w:r>
      <w:r w:rsidR="00DD5F51">
        <w:t>20</w:t>
      </w:r>
      <w:r w:rsidRPr="008E5E57">
        <w:t xml:space="preserve"> </w:t>
      </w:r>
      <w:r w:rsidR="008E5E57">
        <w:t>1.5</w:t>
      </w:r>
      <w:r w:rsidR="00DD5F51">
        <w:t>88</w:t>
      </w:r>
      <w:r w:rsidR="008E5E57">
        <w:t>,</w:t>
      </w:r>
      <w:r w:rsidR="00DD5F51">
        <w:t>3</w:t>
      </w:r>
      <w:r w:rsidRPr="008E5E57">
        <w:t xml:space="preserve"> ton CO2. Hiervan werd </w:t>
      </w:r>
      <w:r w:rsidR="008E5E57">
        <w:t>1.5</w:t>
      </w:r>
      <w:r w:rsidR="00DD5F51">
        <w:t>88</w:t>
      </w:r>
      <w:r w:rsidR="008E5E57">
        <w:t>,</w:t>
      </w:r>
      <w:r w:rsidR="00DD5F51">
        <w:t>2</w:t>
      </w:r>
      <w:r w:rsidRPr="008E5E57">
        <w:t xml:space="preserve"> ton CO2 veroorzaakt door directe GHG emissie (scope 1) en </w:t>
      </w:r>
      <w:r w:rsidR="00DD5F51">
        <w:t>0,1</w:t>
      </w:r>
      <w:r w:rsidRPr="008E5E57">
        <w:t xml:space="preserve"> ton CO2 door indirecte GHG emissie (scope 2)</w:t>
      </w:r>
      <w:r w:rsidR="00AE6EBE" w:rsidRPr="008E5E57">
        <w:t xml:space="preserve">, </w:t>
      </w:r>
      <w:r w:rsidR="008E5E57">
        <w:t>0</w:t>
      </w:r>
      <w:r w:rsidR="00AE6EBE" w:rsidRPr="008E5E57">
        <w:t xml:space="preserve"> ton CO2 door indirec</w:t>
      </w:r>
      <w:r w:rsidR="00CF45D1" w:rsidRPr="008E5E57">
        <w:t>te GHG emissie</w:t>
      </w:r>
      <w:r w:rsidR="00CF45D1">
        <w:t xml:space="preserve"> (business travel scope 3)</w:t>
      </w:r>
    </w:p>
    <w:p w14:paraId="35C19FFA" w14:textId="6AA31E29" w:rsidR="00AA6E37" w:rsidRPr="00AA6E37" w:rsidRDefault="00AA6E37" w:rsidP="00AA6E37">
      <w:pPr>
        <w:pStyle w:val="Geenafstand"/>
        <w:rPr>
          <w:i/>
        </w:rPr>
      </w:pPr>
      <w:r w:rsidRPr="00AA6E37">
        <w:rPr>
          <w:i/>
        </w:rPr>
        <w:t>Bron 315.1 Emissie inventaris</w:t>
      </w:r>
      <w:r w:rsidR="00DD5F51">
        <w:rPr>
          <w:i/>
        </w:rPr>
        <w:t>atie</w:t>
      </w:r>
    </w:p>
    <w:p w14:paraId="602318C1" w14:textId="77777777" w:rsidR="00AA6E37" w:rsidRDefault="00AA6E37" w:rsidP="00AA6E37">
      <w:pPr>
        <w:pStyle w:val="Geenafstand"/>
      </w:pPr>
    </w:p>
    <w:p w14:paraId="3D798346" w14:textId="77777777" w:rsidR="00AA6E37" w:rsidRPr="00AA6E37" w:rsidRDefault="00AA6E37" w:rsidP="00AA6E37">
      <w:pPr>
        <w:pStyle w:val="Geenafstand"/>
        <w:rPr>
          <w:b/>
        </w:rPr>
      </w:pPr>
      <w:r w:rsidRPr="00AA6E37">
        <w:rPr>
          <w:b/>
        </w:rPr>
        <w:t>Scope 1</w:t>
      </w:r>
    </w:p>
    <w:p w14:paraId="79ADE221" w14:textId="5255D7AE" w:rsidR="00AA6E37" w:rsidRDefault="00AA6E37" w:rsidP="00AA6E37">
      <w:pPr>
        <w:pStyle w:val="Geenafstand"/>
      </w:pPr>
      <w:r w:rsidRPr="008E5E57">
        <w:t>Het verbruik van lasgassen is bekend maar de hoeveelheden, 1</w:t>
      </w:r>
      <w:r w:rsidR="008E5E57">
        <w:t>2</w:t>
      </w:r>
      <w:r w:rsidRPr="008E5E57">
        <w:t xml:space="preserve">0 liter </w:t>
      </w:r>
      <w:r w:rsidR="00DD5F51">
        <w:t>meggas</w:t>
      </w:r>
      <w:r w:rsidRPr="008E5E57">
        <w:t xml:space="preserve">= 0,2 ton = 0,05% </w:t>
      </w:r>
      <w:r w:rsidR="00DD5F51">
        <w:t xml:space="preserve">en Acetyleengas (80 kg) </w:t>
      </w:r>
      <w:r w:rsidRPr="008E5E57">
        <w:t xml:space="preserve">van de footprint, zijn nihil en hebben geen significante invloed op de emissies en/of reductiebeleid. Het verbruik van koudemiddelen, 0,5 kg, </w:t>
      </w:r>
      <w:r w:rsidRPr="00DE234F">
        <w:t>benzine (</w:t>
      </w:r>
      <w:r w:rsidR="009A0743">
        <w:t>Motomix</w:t>
      </w:r>
      <w:r w:rsidRPr="008E5E57">
        <w:t xml:space="preserve">) </w:t>
      </w:r>
      <w:r w:rsidR="005E6CC0">
        <w:t>135</w:t>
      </w:r>
      <w:r w:rsidRPr="008E5E57">
        <w:t xml:space="preserve"> liter en olie- en smeermiddelen hebben geen invloed op de totale emissie en reductiebeleid.</w:t>
      </w:r>
    </w:p>
    <w:p w14:paraId="1EC8F3B1" w14:textId="77777777" w:rsidR="00AA6E37" w:rsidRDefault="00AA6E37" w:rsidP="00AA6E37">
      <w:pPr>
        <w:pStyle w:val="Geenafstand"/>
      </w:pPr>
    </w:p>
    <w:p w14:paraId="1E398FC4" w14:textId="77777777" w:rsidR="00AA6E37" w:rsidRPr="00AA6E37" w:rsidRDefault="00AA6E37" w:rsidP="00AA6E37">
      <w:pPr>
        <w:pStyle w:val="Geenafstand"/>
        <w:rPr>
          <w:b/>
        </w:rPr>
      </w:pPr>
      <w:r w:rsidRPr="00AA6E37">
        <w:rPr>
          <w:b/>
        </w:rPr>
        <w:t>Scope 2</w:t>
      </w:r>
    </w:p>
    <w:p w14:paraId="214D0A1A" w14:textId="2C8D1D77" w:rsidR="00AA6E37" w:rsidRDefault="00AA6E37" w:rsidP="00AA6E37">
      <w:pPr>
        <w:pStyle w:val="Geenafstand"/>
      </w:pPr>
      <w:r>
        <w:t xml:space="preserve">Er wordt gebruik gemaakt </w:t>
      </w:r>
      <w:r w:rsidRPr="00C74E66">
        <w:t xml:space="preserve">van NLE zakelijk, er is geen “garantie van oorsprong” als bedoeld en uitgegeven door CertiQ of SMK keurmerk. Conversiefactor “grijze stroom” is gerekend; </w:t>
      </w:r>
      <w:r w:rsidR="00C74E66">
        <w:t>556</w:t>
      </w:r>
      <w:r w:rsidRPr="00C74E66">
        <w:t xml:space="preserve"> gram per kWh.</w:t>
      </w:r>
    </w:p>
    <w:p w14:paraId="3CB0391E" w14:textId="520AF634" w:rsidR="002B1BFB" w:rsidRDefault="002B1BFB" w:rsidP="00AA6E37">
      <w:pPr>
        <w:pStyle w:val="Geenafstand"/>
      </w:pPr>
      <w:r>
        <w:t xml:space="preserve">Daarnaast gebruiken we sinds 2020 zonnepanelen, deze liggen op een dak van een werktuigenloods op de locatie Strijbeek. Deze stroom is voornamelijk voor eigen gebruik en het restant wordt terug geleverd aan de energiemaatschappij. </w:t>
      </w:r>
    </w:p>
    <w:p w14:paraId="23894E41" w14:textId="77777777" w:rsidR="00CF45D1" w:rsidRDefault="00CF45D1" w:rsidP="00CF45D1">
      <w:pPr>
        <w:pStyle w:val="Geenafstand"/>
        <w:rPr>
          <w:b/>
        </w:rPr>
      </w:pPr>
    </w:p>
    <w:p w14:paraId="658BE00A" w14:textId="77777777" w:rsidR="00CF45D1" w:rsidRPr="00AA6E37" w:rsidRDefault="00CF45D1" w:rsidP="00CF45D1">
      <w:pPr>
        <w:pStyle w:val="Geenafstand"/>
        <w:rPr>
          <w:b/>
        </w:rPr>
      </w:pPr>
      <w:r w:rsidRPr="00AA6E37">
        <w:rPr>
          <w:b/>
        </w:rPr>
        <w:t xml:space="preserve">Scope </w:t>
      </w:r>
      <w:r>
        <w:rPr>
          <w:b/>
        </w:rPr>
        <w:t>3</w:t>
      </w:r>
    </w:p>
    <w:p w14:paraId="421EC3F6" w14:textId="150CEC7C" w:rsidR="00CF45D1" w:rsidRDefault="009E1AA8" w:rsidP="00CF45D1">
      <w:pPr>
        <w:pStyle w:val="Geenafstand"/>
      </w:pPr>
      <w:r>
        <w:t>In ons bedrijf is er geen sprake van scope 3.</w:t>
      </w:r>
    </w:p>
    <w:p w14:paraId="31509686" w14:textId="77777777" w:rsidR="00846DCD" w:rsidRDefault="00846DCD" w:rsidP="00AA6E37">
      <w:pPr>
        <w:pStyle w:val="Geenafstand"/>
      </w:pPr>
    </w:p>
    <w:p w14:paraId="7BAB6A91" w14:textId="77777777" w:rsidR="00AA6E37" w:rsidRPr="00846DCD" w:rsidRDefault="00AA6E37" w:rsidP="005D3A0C">
      <w:pPr>
        <w:pStyle w:val="Geenafstand"/>
        <w:rPr>
          <w:b/>
        </w:rPr>
      </w:pPr>
      <w:r w:rsidRPr="00846DCD">
        <w:rPr>
          <w:b/>
        </w:rPr>
        <w:t>Bedrijfsgrootte</w:t>
      </w:r>
    </w:p>
    <w:p w14:paraId="7A243F59" w14:textId="2EE89AF3" w:rsidR="00AA6E37" w:rsidRDefault="00AA6E37" w:rsidP="00AA6E37">
      <w:pPr>
        <w:pStyle w:val="Geenafstand"/>
      </w:pPr>
      <w:r w:rsidRPr="009E1AA8">
        <w:t xml:space="preserve">De totale emissie bedraagt </w:t>
      </w:r>
      <w:r w:rsidR="00824256" w:rsidRPr="009E1AA8">
        <w:t xml:space="preserve">   1.526,6</w:t>
      </w:r>
      <w:r w:rsidRPr="009E1AA8">
        <w:t xml:space="preserve"> ton, waar</w:t>
      </w:r>
      <w:r w:rsidR="005E6CC0">
        <w:t xml:space="preserve">door we onder </w:t>
      </w:r>
      <w:r w:rsidR="002B1BFB">
        <w:t xml:space="preserve">klein </w:t>
      </w:r>
      <w:r w:rsidR="005E6CC0">
        <w:t xml:space="preserve">bedrijf vallen (zie </w:t>
      </w:r>
      <w:r w:rsidRPr="009E1AA8">
        <w:t>de bedrijfsgrootte volgens de criteria van tabel 4.1 van het handboek versie 3.1</w:t>
      </w:r>
      <w:r w:rsidR="005E6CC0">
        <w:t>)</w:t>
      </w:r>
      <w:r w:rsidR="00053B27" w:rsidRPr="009E1AA8">
        <w:t>.</w:t>
      </w:r>
    </w:p>
    <w:p w14:paraId="5B9F3124" w14:textId="77777777" w:rsidR="00846DCD" w:rsidRDefault="00846DCD" w:rsidP="00AA6E37">
      <w:pPr>
        <w:pStyle w:val="Geenafstand"/>
      </w:pPr>
    </w:p>
    <w:p w14:paraId="052D1D01" w14:textId="77777777" w:rsidR="00AA6E37" w:rsidRPr="00846DCD" w:rsidRDefault="00AA6E37" w:rsidP="005D3A0C">
      <w:pPr>
        <w:pStyle w:val="Geenafstand"/>
        <w:rPr>
          <w:b/>
        </w:rPr>
      </w:pPr>
      <w:r w:rsidRPr="00846DCD">
        <w:rPr>
          <w:b/>
        </w:rPr>
        <w:t>Verificatie</w:t>
      </w:r>
    </w:p>
    <w:p w14:paraId="2EBE6A8F" w14:textId="77777777" w:rsidR="00846DCD" w:rsidRDefault="00AA6E37" w:rsidP="00AA6E37">
      <w:pPr>
        <w:pStyle w:val="Geenafstand"/>
      </w:pPr>
      <w:r>
        <w:t xml:space="preserve">De </w:t>
      </w:r>
      <w:r w:rsidR="00CF45D1">
        <w:t xml:space="preserve">emissie-inventaris zal door onze CI  worden geverifieerd. </w:t>
      </w:r>
    </w:p>
    <w:p w14:paraId="5A0AB675" w14:textId="77777777" w:rsidR="00CF45D1" w:rsidRDefault="00CF45D1" w:rsidP="00AA6E37">
      <w:pPr>
        <w:pStyle w:val="Geenafstand"/>
      </w:pPr>
    </w:p>
    <w:p w14:paraId="68067D6B" w14:textId="77777777" w:rsidR="00AA6E37" w:rsidRPr="00846DCD" w:rsidRDefault="00AA6E37" w:rsidP="005D3A0C">
      <w:pPr>
        <w:pStyle w:val="Geenafstand"/>
        <w:rPr>
          <w:b/>
        </w:rPr>
      </w:pPr>
      <w:r w:rsidRPr="00846DCD">
        <w:rPr>
          <w:b/>
        </w:rPr>
        <w:t>Verbranding biomassa</w:t>
      </w:r>
    </w:p>
    <w:p w14:paraId="5C0666AF" w14:textId="77777777" w:rsidR="00AA6E37" w:rsidRDefault="00AA6E37" w:rsidP="00AA6E37">
      <w:pPr>
        <w:pStyle w:val="Geenafstand"/>
      </w:pPr>
      <w:r>
        <w:t xml:space="preserve">Verbranding van biomassa vond niet plaats bij </w:t>
      </w:r>
      <w:r w:rsidR="004C6A0E">
        <w:t>ons bedrijf.</w:t>
      </w:r>
    </w:p>
    <w:p w14:paraId="7C9E283A" w14:textId="77777777" w:rsidR="00846DCD" w:rsidRDefault="00846DCD" w:rsidP="00AA6E37">
      <w:pPr>
        <w:pStyle w:val="Geenafstand"/>
      </w:pPr>
    </w:p>
    <w:p w14:paraId="5A7A4569" w14:textId="77777777" w:rsidR="00AA6E37" w:rsidRPr="00846DCD" w:rsidRDefault="00AA6E37" w:rsidP="005D3A0C">
      <w:pPr>
        <w:pStyle w:val="Geenafstand"/>
        <w:rPr>
          <w:b/>
        </w:rPr>
      </w:pPr>
      <w:r w:rsidRPr="00846DCD">
        <w:rPr>
          <w:b/>
        </w:rPr>
        <w:t>GHG verwijderingen</w:t>
      </w:r>
    </w:p>
    <w:p w14:paraId="1FC5AF3A" w14:textId="77777777" w:rsidR="00AA6E37" w:rsidRDefault="00AA6E37" w:rsidP="00AA6E37">
      <w:pPr>
        <w:pStyle w:val="Geenafstand"/>
      </w:pPr>
      <w:r>
        <w:t xml:space="preserve">Er heeft geen broeikasgasverwijdering of compensatie plaats gevonden bij </w:t>
      </w:r>
      <w:r w:rsidR="004C6A0E">
        <w:t>ons bedrijf.</w:t>
      </w:r>
    </w:p>
    <w:p w14:paraId="7DE014FD" w14:textId="77777777" w:rsidR="00846DCD" w:rsidRDefault="00846DCD" w:rsidP="00AA6E37">
      <w:pPr>
        <w:pStyle w:val="Geenafstand"/>
      </w:pPr>
    </w:p>
    <w:p w14:paraId="189234B5" w14:textId="77777777" w:rsidR="00AA6E37" w:rsidRPr="00846DCD" w:rsidRDefault="00AA6E37" w:rsidP="005D3A0C">
      <w:pPr>
        <w:pStyle w:val="Geenafstand"/>
        <w:rPr>
          <w:b/>
        </w:rPr>
      </w:pPr>
      <w:r w:rsidRPr="00846DCD">
        <w:rPr>
          <w:b/>
        </w:rPr>
        <w:lastRenderedPageBreak/>
        <w:t>Uitzonderingen</w:t>
      </w:r>
    </w:p>
    <w:p w14:paraId="3BFCD4E7" w14:textId="77777777" w:rsidR="00AA6E37" w:rsidRDefault="00AA6E37" w:rsidP="00AA6E37">
      <w:pPr>
        <w:pStyle w:val="Geenafstand"/>
      </w:pPr>
      <w:r>
        <w:t>Er zijn geen noemenswaardige uitzonderingen te noemen op het GHG protocol.</w:t>
      </w:r>
    </w:p>
    <w:p w14:paraId="6D8070E4" w14:textId="77777777" w:rsidR="00846DCD" w:rsidRDefault="00846DCD" w:rsidP="00AA6E37">
      <w:pPr>
        <w:pStyle w:val="Geenafstand"/>
      </w:pPr>
    </w:p>
    <w:p w14:paraId="7377C5E6" w14:textId="77777777" w:rsidR="00CF45D1" w:rsidRDefault="00CF45D1" w:rsidP="00AA6E37">
      <w:pPr>
        <w:pStyle w:val="Geenafstand"/>
      </w:pPr>
    </w:p>
    <w:p w14:paraId="54EFF81F" w14:textId="77777777" w:rsidR="00AA6E37" w:rsidRPr="00846DCD" w:rsidRDefault="00AA6E37" w:rsidP="00846DCD">
      <w:pPr>
        <w:pStyle w:val="Geenafstand"/>
        <w:rPr>
          <w:b/>
        </w:rPr>
      </w:pPr>
      <w:r w:rsidRPr="00846DCD">
        <w:rPr>
          <w:b/>
        </w:rPr>
        <w:t>Belangrijkste beïnvloeders</w:t>
      </w:r>
    </w:p>
    <w:p w14:paraId="150EA8F0" w14:textId="77777777" w:rsidR="00AA6E37" w:rsidRDefault="00AA6E37" w:rsidP="00AA6E37">
      <w:pPr>
        <w:pStyle w:val="Geenafstand"/>
      </w:pPr>
      <w:r>
        <w:t xml:space="preserve">Binnen </w:t>
      </w:r>
      <w:r w:rsidR="004C6A0E">
        <w:t>ons bedrijf</w:t>
      </w:r>
      <w:r>
        <w:t xml:space="preserve"> zijn geen individuele personen te benoemen die een dermate invloed op de CO2 footprint hebben dat gedragsverandering van deze individuele persoon alleen al zou zorgen voor een significante verandering in de CO2 footprint.</w:t>
      </w:r>
    </w:p>
    <w:p w14:paraId="6E73B356" w14:textId="77777777" w:rsidR="00AA6E37" w:rsidRDefault="00AA6E37" w:rsidP="00AA6E37">
      <w:pPr>
        <w:pStyle w:val="Geenafstand"/>
      </w:pPr>
    </w:p>
    <w:p w14:paraId="67B3D443" w14:textId="77777777" w:rsidR="00AA6E37" w:rsidRPr="00846DCD" w:rsidRDefault="00AA6E37" w:rsidP="00846DCD">
      <w:pPr>
        <w:pStyle w:val="Geenafstand"/>
        <w:rPr>
          <w:b/>
        </w:rPr>
      </w:pPr>
      <w:r w:rsidRPr="00846DCD">
        <w:rPr>
          <w:b/>
        </w:rPr>
        <w:t>Toekomst</w:t>
      </w:r>
    </w:p>
    <w:p w14:paraId="78E30F70" w14:textId="77777777" w:rsidR="00AA6E37" w:rsidRDefault="00AA6E37" w:rsidP="00AA6E37">
      <w:pPr>
        <w:pStyle w:val="Geenafstand"/>
      </w:pPr>
      <w:r>
        <w:t xml:space="preserve">De emissie in de paragrafen hierboven zijn vastgesteld voor het jaar </w:t>
      </w:r>
      <w:r w:rsidR="004C6A0E">
        <w:t>2019.</w:t>
      </w:r>
      <w:r>
        <w:t xml:space="preserve"> De verwachting is dat de</w:t>
      </w:r>
      <w:r w:rsidR="0010794B">
        <w:t xml:space="preserve">ze emissie in het komende jaar </w:t>
      </w:r>
      <w:r>
        <w:t>niet aan grote verandering onderhevig zal zijn. We</w:t>
      </w:r>
      <w:r w:rsidR="0010794B">
        <w:t>l zal, gezien de doelstellingen,</w:t>
      </w:r>
      <w:r>
        <w:t xml:space="preserve"> de CO2 uitstoot met </w:t>
      </w:r>
      <w:r w:rsidR="0010794B">
        <w:t>1</w:t>
      </w:r>
      <w:r w:rsidRPr="0010794B">
        <w:t>% dalen.</w:t>
      </w:r>
      <w:r>
        <w:t xml:space="preserve"> </w:t>
      </w:r>
    </w:p>
    <w:p w14:paraId="39D43A9E" w14:textId="77777777" w:rsidR="00846DCD" w:rsidRDefault="00846DCD" w:rsidP="00AA6E37">
      <w:pPr>
        <w:pStyle w:val="Geenafstand"/>
      </w:pPr>
    </w:p>
    <w:p w14:paraId="1DD98DDA" w14:textId="77777777" w:rsidR="00AA6E37" w:rsidRPr="00846DCD" w:rsidRDefault="00AA6E37" w:rsidP="00846DCD">
      <w:pPr>
        <w:pStyle w:val="Geenafstand"/>
        <w:rPr>
          <w:b/>
        </w:rPr>
      </w:pPr>
      <w:r w:rsidRPr="00846DCD">
        <w:rPr>
          <w:b/>
        </w:rPr>
        <w:t>Significante veranderingen</w:t>
      </w:r>
    </w:p>
    <w:p w14:paraId="3E239E7D" w14:textId="4807A390" w:rsidR="00AA6E37" w:rsidRDefault="00AA6E37" w:rsidP="00AA6E37">
      <w:pPr>
        <w:pStyle w:val="Geenafstand"/>
      </w:pPr>
      <w:r>
        <w:t xml:space="preserve">Zoals in hoofdstuk 4 beschreven geldt </w:t>
      </w:r>
      <w:r w:rsidR="0010794B">
        <w:t>2019</w:t>
      </w:r>
      <w:r>
        <w:t xml:space="preserve"> als basisjaar. In deze paragraaf worden al de eerste veranderingen gepresenteerd van </w:t>
      </w:r>
      <w:r w:rsidRPr="0010794B">
        <w:t>20</w:t>
      </w:r>
      <w:r w:rsidR="0010794B">
        <w:t>20</w:t>
      </w:r>
      <w:r w:rsidRPr="0010794B">
        <w:t xml:space="preserve"> t.o.v. 201</w:t>
      </w:r>
      <w:r w:rsidR="0010794B">
        <w:t>9</w:t>
      </w:r>
      <w:r>
        <w:t>.</w:t>
      </w:r>
      <w:r w:rsidR="003B7301">
        <w:t xml:space="preserve"> Zie voor meer gegevens 315.1.</w:t>
      </w:r>
    </w:p>
    <w:p w14:paraId="681A9CC2" w14:textId="5FFCA953" w:rsidR="003B7301" w:rsidRDefault="003B7301" w:rsidP="00AA6E37">
      <w:pPr>
        <w:pStyle w:val="Geenafstand"/>
      </w:pPr>
    </w:p>
    <w:p w14:paraId="5A94F537" w14:textId="73087745" w:rsidR="000850F7" w:rsidRPr="000850F7" w:rsidRDefault="003B7301" w:rsidP="00AA6E37">
      <w:pPr>
        <w:pStyle w:val="Geenafstand"/>
        <w:rPr>
          <w:rFonts w:cs="Calibri"/>
        </w:rPr>
      </w:pPr>
      <w:r>
        <w:t>Doelstelling 1 loopt nog niet zoals het moet</w:t>
      </w:r>
      <w:r w:rsidR="006078B8">
        <w:t>, zoals je hieronder kunt zien hebben we in het jaar 2020 66,7 ton meer CO</w:t>
      </w:r>
      <w:r w:rsidR="006078B8">
        <w:rPr>
          <w:rFonts w:cs="Calibri"/>
        </w:rPr>
        <w:t>2 uitgestoten</w:t>
      </w:r>
      <w:r w:rsidR="000850F7">
        <w:rPr>
          <w:rFonts w:cs="Calibri"/>
        </w:rPr>
        <w:t xml:space="preserve"> dan een jaar eerder</w:t>
      </w:r>
      <w:r w:rsidR="006078B8">
        <w:rPr>
          <w:rFonts w:cs="Calibri"/>
        </w:rPr>
        <w:t xml:space="preserve"> op basis van Scope 1. Dit is 4,</w:t>
      </w:r>
      <w:r w:rsidR="000850F7">
        <w:rPr>
          <w:rFonts w:cs="Calibri"/>
        </w:rPr>
        <w:t>38 % meer, dit zit hem voornamelijk in brandstofverbruik deze was in 2020 hoger. Het gasverbruik is zelfs wat afgenomen t.o.v. een jaar eerder</w:t>
      </w:r>
      <w:r w:rsidR="00746513">
        <w:rPr>
          <w:rFonts w:cs="Calibri"/>
        </w:rPr>
        <w:t xml:space="preserve"> (maar is bijna nihil)</w:t>
      </w:r>
      <w:r w:rsidR="000850F7">
        <w:rPr>
          <w:rFonts w:cs="Calibri"/>
        </w:rPr>
        <w:t>.</w:t>
      </w:r>
    </w:p>
    <w:p w14:paraId="47F5C1C6" w14:textId="3DF7A733" w:rsidR="006078B8" w:rsidRDefault="006078B8" w:rsidP="00AA6E37">
      <w:pPr>
        <w:pStyle w:val="Geenafstand"/>
      </w:pPr>
      <w:r>
        <w:t xml:space="preserve">De omzet en het brutomarge is in 2020 </w:t>
      </w:r>
      <w:r w:rsidR="000850F7">
        <w:t>wel hoger dan in 2019, maar dit ligt niet in verhouding met de + op de CO2 uitstoot in scope 1.</w:t>
      </w:r>
    </w:p>
    <w:p w14:paraId="60D62F49" w14:textId="13E0E29B" w:rsidR="000850F7" w:rsidRDefault="000850F7" w:rsidP="00AA6E37">
      <w:pPr>
        <w:pStyle w:val="Geenafstand"/>
      </w:pPr>
    </w:p>
    <w:p w14:paraId="35621B0B" w14:textId="49706C38" w:rsidR="000850F7" w:rsidRDefault="00524FB2" w:rsidP="00AA6E37">
      <w:pPr>
        <w:pStyle w:val="Geenafstand"/>
      </w:pPr>
      <w:r>
        <w:t>Dit is te herleiden dat we in 2020 minder handwerk hebben gedaan dan een jaar eerder. Bij handwerk heb je geen of relatief weinig brandstofverbruik. Verder heeft het ook deels te maken met de voorraad in de 3 diesel tanken. De voorraad in  de tanken was in begin januari 2020  meer als in januari 2019.</w:t>
      </w:r>
      <w:r w:rsidR="002C32F1">
        <w:t xml:space="preserve"> Dit hebben we kunnen achterhalen doordat we op de rekeningen hebben gezien dat de brandstofleverancier eind december 2019 nog een aantal tanken heeft gevuld met diesel.</w:t>
      </w:r>
      <w:r>
        <w:t xml:space="preserve"> De precieze hoeveelheid is helaas niet helemaal te traceren omdat we in 2 van de 3 tanken niet kunnen zien wat de actuele stand van zaken is (hoeveelheid liters).</w:t>
      </w:r>
    </w:p>
    <w:p w14:paraId="78F489D7" w14:textId="5858F3B7" w:rsidR="002C32F1" w:rsidRDefault="002C32F1" w:rsidP="00AA6E37">
      <w:pPr>
        <w:pStyle w:val="Geenafstand"/>
      </w:pPr>
    </w:p>
    <w:p w14:paraId="678AA1FF" w14:textId="6AFA2965" w:rsidR="002C32F1" w:rsidRDefault="002C32F1" w:rsidP="00AA6E37">
      <w:pPr>
        <w:pStyle w:val="Geenafstand"/>
      </w:pPr>
      <w:r>
        <w:t>Op het gebied van scope 2 (elektriciteit) gaat het een stuk beter, doordat we in 2020 begonnen zijn door energieopwekking d.m.v. zonnepanelen op een werktuigenloods op de locatie Strijbeek. Zijn we voor Strijbeek zelfvoorzienend geworden m.b.t. elektriciteit, de restante energie die wordt opgewekt wordt terug geleverd aan de energie maatschappij. Hierdoor hebben we een mooie en goede stap kunnen zetten om op het gebied van scope 2/elektriciteit CO2 te kunnen reduceren.</w:t>
      </w:r>
    </w:p>
    <w:p w14:paraId="1A12F2B1" w14:textId="43A954F8" w:rsidR="00E73EF8" w:rsidRDefault="00E73EF8" w:rsidP="00AA6E37">
      <w:pPr>
        <w:pStyle w:val="Geenafstand"/>
      </w:pPr>
      <w:r>
        <w:t>Op de locatie in Bavel zijn we nog niet in het bezit van zonnepanelen.</w:t>
      </w:r>
    </w:p>
    <w:p w14:paraId="5490B7F4" w14:textId="08F7AB86" w:rsidR="00E73EF8" w:rsidRDefault="00E73EF8" w:rsidP="00AA6E37">
      <w:pPr>
        <w:pStyle w:val="Geenafstand"/>
      </w:pPr>
      <w:r>
        <w:t>Door deze investering op het geb</w:t>
      </w:r>
      <w:r w:rsidR="0074794B">
        <w:t>ie</w:t>
      </w:r>
      <w:r>
        <w:t>d van zonnepanelen hebben we zo al snel een reductie kunnen generen van 99,49% t.o.v. van het jaar 2019.</w:t>
      </w:r>
    </w:p>
    <w:p w14:paraId="46B760D9" w14:textId="040B2D97" w:rsidR="00E73EF8" w:rsidRDefault="00E73EF8" w:rsidP="00AA6E37">
      <w:pPr>
        <w:pStyle w:val="Geenafstand"/>
      </w:pPr>
    </w:p>
    <w:p w14:paraId="3BE0BBA5" w14:textId="26B7300E" w:rsidR="00E73EF8" w:rsidRDefault="00E73EF8" w:rsidP="00AA6E37">
      <w:pPr>
        <w:pStyle w:val="Geenafstand"/>
      </w:pPr>
      <w:r>
        <w:t>Scope 3 is binnen ons bedrijf niet van toepassing.</w:t>
      </w:r>
    </w:p>
    <w:p w14:paraId="5CBB50CA" w14:textId="19174F12" w:rsidR="00E73EF8" w:rsidRDefault="00E73EF8" w:rsidP="00AA6E37">
      <w:pPr>
        <w:pStyle w:val="Geenafstand"/>
      </w:pPr>
    </w:p>
    <w:p w14:paraId="2E41186B" w14:textId="77777777" w:rsidR="00E73EF8" w:rsidRDefault="00E73EF8" w:rsidP="00AA6E37">
      <w:pPr>
        <w:pStyle w:val="Geenafstand"/>
      </w:pPr>
    </w:p>
    <w:p w14:paraId="093FDB35" w14:textId="71C93B38" w:rsidR="003B7301" w:rsidRDefault="003B7301" w:rsidP="00AA6E37">
      <w:pPr>
        <w:pStyle w:val="Geenafstand"/>
      </w:pPr>
    </w:p>
    <w:p w14:paraId="4FF1D1AC" w14:textId="0B0596EB" w:rsidR="003B7301" w:rsidRDefault="003B7301" w:rsidP="00AA6E37">
      <w:pPr>
        <w:pStyle w:val="Geenafstand"/>
      </w:pPr>
    </w:p>
    <w:p w14:paraId="707B6A45" w14:textId="49A8BC0C" w:rsidR="003B7301" w:rsidRDefault="003B7301" w:rsidP="00AA6E37">
      <w:pPr>
        <w:pStyle w:val="Geenafstand"/>
      </w:pPr>
    </w:p>
    <w:p w14:paraId="6942F040" w14:textId="77777777" w:rsidR="003B7301" w:rsidRDefault="003B7301" w:rsidP="00AA6E37">
      <w:pPr>
        <w:pStyle w:val="Geenafstand"/>
      </w:pPr>
    </w:p>
    <w:p w14:paraId="77840762" w14:textId="77777777" w:rsidR="00AA6E37" w:rsidRDefault="00AA6E37" w:rsidP="00AA6E37">
      <w:pPr>
        <w:pStyle w:val="Geenafstand"/>
      </w:pPr>
    </w:p>
    <w:tbl>
      <w:tblPr>
        <w:tblStyle w:val="Tabelraster"/>
        <w:tblW w:w="0" w:type="auto"/>
        <w:tblLook w:val="04A0" w:firstRow="1" w:lastRow="0" w:firstColumn="1" w:lastColumn="0" w:noHBand="0" w:noVBand="1"/>
      </w:tblPr>
      <w:tblGrid>
        <w:gridCol w:w="4390"/>
        <w:gridCol w:w="1134"/>
        <w:gridCol w:w="1134"/>
        <w:gridCol w:w="1275"/>
        <w:gridCol w:w="1129"/>
      </w:tblGrid>
      <w:tr w:rsidR="00CF45D1" w:rsidRPr="0054527E" w14:paraId="7F3F0A62" w14:textId="77777777" w:rsidTr="00CF7F62">
        <w:tc>
          <w:tcPr>
            <w:tcW w:w="4390" w:type="dxa"/>
            <w:shd w:val="clear" w:color="auto" w:fill="0B3B60"/>
          </w:tcPr>
          <w:p w14:paraId="1F1C42F9" w14:textId="77777777" w:rsidR="00CF45D1" w:rsidRPr="0054527E" w:rsidRDefault="00CF45D1" w:rsidP="00CF7F62">
            <w:pPr>
              <w:pStyle w:val="Geenafstand"/>
              <w:rPr>
                <w:b/>
                <w:color w:val="FFFFFF" w:themeColor="background1"/>
              </w:rPr>
            </w:pPr>
            <w:bookmarkStart w:id="6" w:name="_Toc46135124"/>
            <w:r w:rsidRPr="0054527E">
              <w:rPr>
                <w:b/>
                <w:color w:val="FFFFFF" w:themeColor="background1"/>
              </w:rPr>
              <w:lastRenderedPageBreak/>
              <w:t>Scope 1</w:t>
            </w:r>
          </w:p>
        </w:tc>
        <w:tc>
          <w:tcPr>
            <w:tcW w:w="1134" w:type="dxa"/>
            <w:shd w:val="clear" w:color="auto" w:fill="0B3B60"/>
          </w:tcPr>
          <w:p w14:paraId="1A42146A" w14:textId="77777777" w:rsidR="00CF45D1" w:rsidRPr="0054527E" w:rsidRDefault="00CF45D1" w:rsidP="00CF7F62">
            <w:pPr>
              <w:pStyle w:val="Geenafstand"/>
              <w:rPr>
                <w:b/>
                <w:color w:val="FFFFFF" w:themeColor="background1"/>
              </w:rPr>
            </w:pPr>
            <w:r w:rsidRPr="0054527E">
              <w:rPr>
                <w:b/>
                <w:color w:val="FFFFFF" w:themeColor="background1"/>
              </w:rPr>
              <w:t>201</w:t>
            </w:r>
            <w:r w:rsidR="0010794B">
              <w:rPr>
                <w:b/>
                <w:color w:val="FFFFFF" w:themeColor="background1"/>
              </w:rPr>
              <w:t>9</w:t>
            </w:r>
          </w:p>
        </w:tc>
        <w:tc>
          <w:tcPr>
            <w:tcW w:w="1134" w:type="dxa"/>
            <w:shd w:val="clear" w:color="auto" w:fill="0B3B60"/>
          </w:tcPr>
          <w:p w14:paraId="7415E4B2" w14:textId="77777777" w:rsidR="00CF45D1" w:rsidRPr="0054527E" w:rsidRDefault="00CF45D1" w:rsidP="00CF7F62">
            <w:pPr>
              <w:pStyle w:val="Geenafstand"/>
              <w:rPr>
                <w:b/>
                <w:color w:val="FFFFFF" w:themeColor="background1"/>
              </w:rPr>
            </w:pPr>
            <w:r w:rsidRPr="0054527E">
              <w:rPr>
                <w:b/>
                <w:color w:val="FFFFFF" w:themeColor="background1"/>
              </w:rPr>
              <w:t>20</w:t>
            </w:r>
            <w:r w:rsidR="0010794B">
              <w:rPr>
                <w:b/>
                <w:color w:val="FFFFFF" w:themeColor="background1"/>
              </w:rPr>
              <w:t>20</w:t>
            </w:r>
          </w:p>
        </w:tc>
        <w:tc>
          <w:tcPr>
            <w:tcW w:w="1275" w:type="dxa"/>
            <w:shd w:val="clear" w:color="auto" w:fill="0B3B60"/>
          </w:tcPr>
          <w:p w14:paraId="06F377BB" w14:textId="77777777" w:rsidR="00CF45D1" w:rsidRPr="0054527E" w:rsidRDefault="00CF45D1" w:rsidP="00CF7F62">
            <w:pPr>
              <w:pStyle w:val="Geenafstand"/>
              <w:rPr>
                <w:b/>
                <w:color w:val="FFFFFF" w:themeColor="background1"/>
              </w:rPr>
            </w:pPr>
            <w:r w:rsidRPr="0054527E">
              <w:rPr>
                <w:b/>
                <w:color w:val="FFFFFF" w:themeColor="background1"/>
              </w:rPr>
              <w:t>20</w:t>
            </w:r>
            <w:r w:rsidR="0010794B">
              <w:rPr>
                <w:b/>
                <w:color w:val="FFFFFF" w:themeColor="background1"/>
              </w:rPr>
              <w:t>2</w:t>
            </w:r>
            <w:r w:rsidRPr="0054527E">
              <w:rPr>
                <w:b/>
                <w:color w:val="FFFFFF" w:themeColor="background1"/>
              </w:rPr>
              <w:t>1</w:t>
            </w:r>
          </w:p>
        </w:tc>
        <w:tc>
          <w:tcPr>
            <w:tcW w:w="1129" w:type="dxa"/>
            <w:shd w:val="clear" w:color="auto" w:fill="0B3B60"/>
          </w:tcPr>
          <w:p w14:paraId="4544E62C" w14:textId="77777777" w:rsidR="00CF45D1" w:rsidRPr="0054527E" w:rsidRDefault="00CF45D1" w:rsidP="00CF7F62">
            <w:pPr>
              <w:pStyle w:val="Geenafstand"/>
              <w:rPr>
                <w:b/>
                <w:color w:val="FFFFFF" w:themeColor="background1"/>
              </w:rPr>
            </w:pPr>
            <w:r w:rsidRPr="0054527E">
              <w:rPr>
                <w:b/>
                <w:color w:val="FFFFFF" w:themeColor="background1"/>
              </w:rPr>
              <w:t>202</w:t>
            </w:r>
            <w:r w:rsidR="0010794B">
              <w:rPr>
                <w:b/>
                <w:color w:val="FFFFFF" w:themeColor="background1"/>
              </w:rPr>
              <w:t>2</w:t>
            </w:r>
          </w:p>
        </w:tc>
      </w:tr>
      <w:tr w:rsidR="00CF45D1" w14:paraId="030FF4C9" w14:textId="77777777" w:rsidTr="00CF7F62">
        <w:tc>
          <w:tcPr>
            <w:tcW w:w="4390" w:type="dxa"/>
          </w:tcPr>
          <w:p w14:paraId="307E6117" w14:textId="77777777" w:rsidR="00CF45D1" w:rsidRPr="004700C2" w:rsidRDefault="00CF45D1" w:rsidP="00CF7F62">
            <w:r w:rsidRPr="004700C2">
              <w:t>Gasverbruik</w:t>
            </w:r>
          </w:p>
        </w:tc>
        <w:tc>
          <w:tcPr>
            <w:tcW w:w="1134" w:type="dxa"/>
          </w:tcPr>
          <w:p w14:paraId="7B5F8332" w14:textId="77777777" w:rsidR="00CF45D1" w:rsidRDefault="006A57AF" w:rsidP="00CF7F62">
            <w:pPr>
              <w:pStyle w:val="Geenafstand"/>
            </w:pPr>
            <w:r>
              <w:t>15,7</w:t>
            </w:r>
          </w:p>
        </w:tc>
        <w:tc>
          <w:tcPr>
            <w:tcW w:w="1134" w:type="dxa"/>
          </w:tcPr>
          <w:p w14:paraId="1A391F2F" w14:textId="00F80E2B" w:rsidR="00CF45D1" w:rsidRDefault="001C0497" w:rsidP="00CF7F62">
            <w:pPr>
              <w:pStyle w:val="Geenafstand"/>
            </w:pPr>
            <w:r>
              <w:t>15,5</w:t>
            </w:r>
          </w:p>
        </w:tc>
        <w:tc>
          <w:tcPr>
            <w:tcW w:w="1275" w:type="dxa"/>
          </w:tcPr>
          <w:p w14:paraId="1C6E1808" w14:textId="77777777" w:rsidR="00CF45D1" w:rsidRDefault="00CF45D1" w:rsidP="00CF7F62">
            <w:pPr>
              <w:pStyle w:val="Geenafstand"/>
            </w:pPr>
          </w:p>
        </w:tc>
        <w:tc>
          <w:tcPr>
            <w:tcW w:w="1129" w:type="dxa"/>
          </w:tcPr>
          <w:p w14:paraId="469CA919" w14:textId="77777777" w:rsidR="00CF45D1" w:rsidRDefault="00CF45D1" w:rsidP="00CF7F62">
            <w:pPr>
              <w:pStyle w:val="Geenafstand"/>
            </w:pPr>
          </w:p>
        </w:tc>
      </w:tr>
      <w:tr w:rsidR="00CF45D1" w14:paraId="3EEF2FB3" w14:textId="77777777" w:rsidTr="00CF7F62">
        <w:tc>
          <w:tcPr>
            <w:tcW w:w="4390" w:type="dxa"/>
          </w:tcPr>
          <w:p w14:paraId="162E6830" w14:textId="06778EC5" w:rsidR="00CF45D1" w:rsidRPr="004700C2" w:rsidRDefault="00CF45D1" w:rsidP="00CF7F62">
            <w:r w:rsidRPr="004700C2">
              <w:t xml:space="preserve">Brandstofverbruik </w:t>
            </w:r>
            <w:r w:rsidR="001C0497">
              <w:t>D</w:t>
            </w:r>
            <w:r w:rsidRPr="004700C2">
              <w:t>iesel</w:t>
            </w:r>
            <w:r w:rsidR="001C0497">
              <w:t xml:space="preserve"> Rood</w:t>
            </w:r>
          </w:p>
        </w:tc>
        <w:tc>
          <w:tcPr>
            <w:tcW w:w="1134" w:type="dxa"/>
          </w:tcPr>
          <w:p w14:paraId="0D5FB084" w14:textId="75CBEA19" w:rsidR="00CF45D1" w:rsidRDefault="00997C99" w:rsidP="00CF7F62">
            <w:pPr>
              <w:pStyle w:val="Geenafstand"/>
            </w:pPr>
            <w:r>
              <w:t>1</w:t>
            </w:r>
            <w:r w:rsidR="00232741">
              <w:t>.</w:t>
            </w:r>
            <w:r>
              <w:t>4</w:t>
            </w:r>
            <w:r w:rsidR="007B56E9">
              <w:t>19,5</w:t>
            </w:r>
          </w:p>
        </w:tc>
        <w:tc>
          <w:tcPr>
            <w:tcW w:w="1134" w:type="dxa"/>
          </w:tcPr>
          <w:p w14:paraId="2B036F7A" w14:textId="5E999371" w:rsidR="00CF45D1" w:rsidRDefault="001C0497" w:rsidP="00CF7F62">
            <w:pPr>
              <w:pStyle w:val="Geenafstand"/>
            </w:pPr>
            <w:r>
              <w:t>1.477,3</w:t>
            </w:r>
          </w:p>
        </w:tc>
        <w:tc>
          <w:tcPr>
            <w:tcW w:w="1275" w:type="dxa"/>
          </w:tcPr>
          <w:p w14:paraId="3DD865A6" w14:textId="77777777" w:rsidR="00CF45D1" w:rsidRDefault="00CF45D1" w:rsidP="00CF7F62">
            <w:pPr>
              <w:pStyle w:val="Geenafstand"/>
            </w:pPr>
          </w:p>
        </w:tc>
        <w:tc>
          <w:tcPr>
            <w:tcW w:w="1129" w:type="dxa"/>
          </w:tcPr>
          <w:p w14:paraId="31C07257" w14:textId="77777777" w:rsidR="00CF45D1" w:rsidRDefault="00CF45D1" w:rsidP="00CF7F62">
            <w:pPr>
              <w:pStyle w:val="Geenafstand"/>
            </w:pPr>
          </w:p>
        </w:tc>
      </w:tr>
      <w:tr w:rsidR="00CF45D1" w14:paraId="752A3B0E" w14:textId="77777777" w:rsidTr="00CF7F62">
        <w:tc>
          <w:tcPr>
            <w:tcW w:w="4390" w:type="dxa"/>
          </w:tcPr>
          <w:p w14:paraId="7905B36D" w14:textId="220CF54C" w:rsidR="00CF45D1" w:rsidRPr="004700C2" w:rsidRDefault="00CF45D1" w:rsidP="00CF7F62">
            <w:r w:rsidRPr="004700C2">
              <w:t xml:space="preserve">Brandstofverbruik </w:t>
            </w:r>
            <w:r w:rsidR="001C0497">
              <w:t>Diesel Wit</w:t>
            </w:r>
          </w:p>
        </w:tc>
        <w:tc>
          <w:tcPr>
            <w:tcW w:w="1134" w:type="dxa"/>
          </w:tcPr>
          <w:p w14:paraId="6AC14EC9" w14:textId="4229794F" w:rsidR="00CF45D1" w:rsidRDefault="001C0497" w:rsidP="00CF7F62">
            <w:pPr>
              <w:pStyle w:val="Geenafstand"/>
            </w:pPr>
            <w:r>
              <w:t>85,9</w:t>
            </w:r>
          </w:p>
        </w:tc>
        <w:tc>
          <w:tcPr>
            <w:tcW w:w="1134" w:type="dxa"/>
          </w:tcPr>
          <w:p w14:paraId="14F86E55" w14:textId="1C1DAACC" w:rsidR="00CF45D1" w:rsidRDefault="001C0497" w:rsidP="00CF7F62">
            <w:pPr>
              <w:pStyle w:val="Geenafstand"/>
            </w:pPr>
            <w:r>
              <w:t>94,7</w:t>
            </w:r>
          </w:p>
        </w:tc>
        <w:tc>
          <w:tcPr>
            <w:tcW w:w="1275" w:type="dxa"/>
          </w:tcPr>
          <w:p w14:paraId="19AD6948" w14:textId="77777777" w:rsidR="00CF45D1" w:rsidRDefault="00CF45D1" w:rsidP="00CF7F62">
            <w:pPr>
              <w:pStyle w:val="Geenafstand"/>
            </w:pPr>
          </w:p>
        </w:tc>
        <w:tc>
          <w:tcPr>
            <w:tcW w:w="1129" w:type="dxa"/>
          </w:tcPr>
          <w:p w14:paraId="2CAC9DB0" w14:textId="77777777" w:rsidR="00CF45D1" w:rsidRDefault="00CF45D1" w:rsidP="00CF7F62">
            <w:pPr>
              <w:pStyle w:val="Geenafstand"/>
            </w:pPr>
          </w:p>
        </w:tc>
      </w:tr>
      <w:tr w:rsidR="00CF45D1" w14:paraId="3D2C156B" w14:textId="77777777" w:rsidTr="00CF7F62">
        <w:tc>
          <w:tcPr>
            <w:tcW w:w="4390" w:type="dxa"/>
          </w:tcPr>
          <w:p w14:paraId="70288B48" w14:textId="77777777" w:rsidR="00CF45D1" w:rsidRPr="004700C2" w:rsidRDefault="00CF45D1" w:rsidP="00CF7F62"/>
        </w:tc>
        <w:tc>
          <w:tcPr>
            <w:tcW w:w="1134" w:type="dxa"/>
          </w:tcPr>
          <w:p w14:paraId="5E744B74" w14:textId="77777777" w:rsidR="00CF45D1" w:rsidRDefault="00CF45D1" w:rsidP="00CF7F62">
            <w:pPr>
              <w:pStyle w:val="Geenafstand"/>
            </w:pPr>
          </w:p>
        </w:tc>
        <w:tc>
          <w:tcPr>
            <w:tcW w:w="1134" w:type="dxa"/>
          </w:tcPr>
          <w:p w14:paraId="2E7F9C8D" w14:textId="77777777" w:rsidR="00CF45D1" w:rsidRDefault="00CF45D1" w:rsidP="00CF7F62">
            <w:pPr>
              <w:pStyle w:val="Geenafstand"/>
            </w:pPr>
          </w:p>
        </w:tc>
        <w:tc>
          <w:tcPr>
            <w:tcW w:w="1275" w:type="dxa"/>
          </w:tcPr>
          <w:p w14:paraId="70A586EA" w14:textId="77777777" w:rsidR="00CF45D1" w:rsidRDefault="00CF45D1" w:rsidP="00CF7F62">
            <w:pPr>
              <w:pStyle w:val="Geenafstand"/>
            </w:pPr>
          </w:p>
        </w:tc>
        <w:tc>
          <w:tcPr>
            <w:tcW w:w="1129" w:type="dxa"/>
          </w:tcPr>
          <w:p w14:paraId="1935B9F8" w14:textId="77777777" w:rsidR="00CF45D1" w:rsidRDefault="00CF45D1" w:rsidP="00CF7F62">
            <w:pPr>
              <w:pStyle w:val="Geenafstand"/>
            </w:pPr>
          </w:p>
        </w:tc>
      </w:tr>
      <w:tr w:rsidR="00CF45D1" w:rsidRPr="0054527E" w14:paraId="13B2D228" w14:textId="77777777" w:rsidTr="00CF7F62">
        <w:tc>
          <w:tcPr>
            <w:tcW w:w="4390" w:type="dxa"/>
          </w:tcPr>
          <w:p w14:paraId="5F3E77CC" w14:textId="77777777" w:rsidR="00CF45D1" w:rsidRPr="0054527E" w:rsidRDefault="00CF45D1" w:rsidP="00CF7F62">
            <w:pPr>
              <w:pStyle w:val="Geenafstand"/>
              <w:rPr>
                <w:b/>
              </w:rPr>
            </w:pPr>
            <w:r w:rsidRPr="0054527E">
              <w:rPr>
                <w:b/>
              </w:rPr>
              <w:t>Totaal scope 1</w:t>
            </w:r>
          </w:p>
        </w:tc>
        <w:tc>
          <w:tcPr>
            <w:tcW w:w="1134" w:type="dxa"/>
          </w:tcPr>
          <w:p w14:paraId="7A86A359" w14:textId="5C42431A" w:rsidR="00CF45D1" w:rsidRPr="0054527E" w:rsidRDefault="00997C99" w:rsidP="00CF7F62">
            <w:pPr>
              <w:pStyle w:val="Geenafstand"/>
              <w:rPr>
                <w:b/>
              </w:rPr>
            </w:pPr>
            <w:r>
              <w:rPr>
                <w:b/>
              </w:rPr>
              <w:t>1</w:t>
            </w:r>
            <w:r w:rsidR="00232741">
              <w:rPr>
                <w:b/>
              </w:rPr>
              <w:t>.</w:t>
            </w:r>
            <w:r>
              <w:rPr>
                <w:b/>
              </w:rPr>
              <w:t>5</w:t>
            </w:r>
            <w:r w:rsidR="001C0497">
              <w:rPr>
                <w:b/>
              </w:rPr>
              <w:t>21</w:t>
            </w:r>
            <w:r>
              <w:rPr>
                <w:b/>
              </w:rPr>
              <w:t>,</w:t>
            </w:r>
            <w:r w:rsidR="001C0497">
              <w:rPr>
                <w:b/>
              </w:rPr>
              <w:t>5</w:t>
            </w:r>
          </w:p>
        </w:tc>
        <w:tc>
          <w:tcPr>
            <w:tcW w:w="1134" w:type="dxa"/>
          </w:tcPr>
          <w:p w14:paraId="1A359029" w14:textId="0F88E0DB" w:rsidR="00CF45D1" w:rsidRPr="0054527E" w:rsidRDefault="00740212" w:rsidP="00CF7F62">
            <w:pPr>
              <w:pStyle w:val="Geenafstand"/>
              <w:rPr>
                <w:b/>
              </w:rPr>
            </w:pPr>
            <w:r>
              <w:rPr>
                <w:b/>
              </w:rPr>
              <w:t>1.588,2</w:t>
            </w:r>
          </w:p>
        </w:tc>
        <w:tc>
          <w:tcPr>
            <w:tcW w:w="1275" w:type="dxa"/>
          </w:tcPr>
          <w:p w14:paraId="13E82E11" w14:textId="77777777" w:rsidR="00CF45D1" w:rsidRPr="0054527E" w:rsidRDefault="00CF45D1" w:rsidP="00CF7F62">
            <w:pPr>
              <w:pStyle w:val="Geenafstand"/>
              <w:rPr>
                <w:b/>
              </w:rPr>
            </w:pPr>
          </w:p>
        </w:tc>
        <w:tc>
          <w:tcPr>
            <w:tcW w:w="1129" w:type="dxa"/>
          </w:tcPr>
          <w:p w14:paraId="4D3C0C5B" w14:textId="77777777" w:rsidR="00CF45D1" w:rsidRPr="0054527E" w:rsidRDefault="00CF45D1" w:rsidP="00CF7F62">
            <w:pPr>
              <w:pStyle w:val="Geenafstand"/>
              <w:rPr>
                <w:b/>
              </w:rPr>
            </w:pPr>
          </w:p>
        </w:tc>
      </w:tr>
      <w:tr w:rsidR="00CF45D1" w14:paraId="1AB788CF" w14:textId="77777777" w:rsidTr="00CF7F62">
        <w:tc>
          <w:tcPr>
            <w:tcW w:w="4390" w:type="dxa"/>
          </w:tcPr>
          <w:p w14:paraId="4E350CDE" w14:textId="77777777" w:rsidR="00CF45D1" w:rsidRDefault="00CF45D1" w:rsidP="00CF7F62">
            <w:pPr>
              <w:pStyle w:val="Geenafstand"/>
            </w:pPr>
          </w:p>
        </w:tc>
        <w:tc>
          <w:tcPr>
            <w:tcW w:w="1134" w:type="dxa"/>
          </w:tcPr>
          <w:p w14:paraId="643B6D4C" w14:textId="77777777" w:rsidR="00CF45D1" w:rsidRDefault="00CF45D1" w:rsidP="00CF7F62">
            <w:pPr>
              <w:pStyle w:val="Geenafstand"/>
            </w:pPr>
          </w:p>
        </w:tc>
        <w:tc>
          <w:tcPr>
            <w:tcW w:w="1134" w:type="dxa"/>
          </w:tcPr>
          <w:p w14:paraId="56DCF5D8" w14:textId="77777777" w:rsidR="00CF45D1" w:rsidRDefault="00CF45D1" w:rsidP="00CF7F62">
            <w:pPr>
              <w:pStyle w:val="Geenafstand"/>
            </w:pPr>
          </w:p>
        </w:tc>
        <w:tc>
          <w:tcPr>
            <w:tcW w:w="1275" w:type="dxa"/>
          </w:tcPr>
          <w:p w14:paraId="75D03542" w14:textId="77777777" w:rsidR="00CF45D1" w:rsidRDefault="00CF45D1" w:rsidP="00CF7F62">
            <w:pPr>
              <w:pStyle w:val="Geenafstand"/>
            </w:pPr>
          </w:p>
        </w:tc>
        <w:tc>
          <w:tcPr>
            <w:tcW w:w="1129" w:type="dxa"/>
          </w:tcPr>
          <w:p w14:paraId="4F98245B" w14:textId="77777777" w:rsidR="00CF45D1" w:rsidRDefault="00CF45D1" w:rsidP="00CF7F62">
            <w:pPr>
              <w:pStyle w:val="Geenafstand"/>
            </w:pPr>
          </w:p>
        </w:tc>
      </w:tr>
      <w:tr w:rsidR="00CF45D1" w:rsidRPr="0054527E" w14:paraId="1037FE07" w14:textId="77777777" w:rsidTr="00CF7F62">
        <w:tc>
          <w:tcPr>
            <w:tcW w:w="4390" w:type="dxa"/>
            <w:shd w:val="clear" w:color="auto" w:fill="0B3B60"/>
          </w:tcPr>
          <w:p w14:paraId="0E082732" w14:textId="77777777" w:rsidR="00CF45D1" w:rsidRPr="0054527E" w:rsidRDefault="00CF45D1" w:rsidP="00CF7F62">
            <w:pPr>
              <w:pStyle w:val="Geenafstand"/>
              <w:rPr>
                <w:b/>
                <w:color w:val="FFFFFF" w:themeColor="background1"/>
              </w:rPr>
            </w:pPr>
            <w:r w:rsidRPr="0054527E">
              <w:rPr>
                <w:b/>
                <w:color w:val="FFFFFF" w:themeColor="background1"/>
              </w:rPr>
              <w:t>Scope 2</w:t>
            </w:r>
          </w:p>
        </w:tc>
        <w:tc>
          <w:tcPr>
            <w:tcW w:w="1134" w:type="dxa"/>
            <w:shd w:val="clear" w:color="auto" w:fill="0B3B60"/>
          </w:tcPr>
          <w:p w14:paraId="69D47344" w14:textId="77777777" w:rsidR="00CF45D1" w:rsidRPr="0054527E" w:rsidRDefault="00CF45D1" w:rsidP="00CF7F62">
            <w:pPr>
              <w:pStyle w:val="Geenafstand"/>
              <w:rPr>
                <w:b/>
                <w:color w:val="FFFFFF" w:themeColor="background1"/>
              </w:rPr>
            </w:pPr>
          </w:p>
        </w:tc>
        <w:tc>
          <w:tcPr>
            <w:tcW w:w="1134" w:type="dxa"/>
            <w:shd w:val="clear" w:color="auto" w:fill="0B3B60"/>
          </w:tcPr>
          <w:p w14:paraId="1656EA32" w14:textId="77777777" w:rsidR="00CF45D1" w:rsidRPr="0054527E" w:rsidRDefault="00CF45D1" w:rsidP="00CF7F62">
            <w:pPr>
              <w:pStyle w:val="Geenafstand"/>
              <w:rPr>
                <w:b/>
                <w:color w:val="FFFFFF" w:themeColor="background1"/>
              </w:rPr>
            </w:pPr>
          </w:p>
        </w:tc>
        <w:tc>
          <w:tcPr>
            <w:tcW w:w="1275" w:type="dxa"/>
            <w:shd w:val="clear" w:color="auto" w:fill="0B3B60"/>
          </w:tcPr>
          <w:p w14:paraId="1F63489F" w14:textId="77777777" w:rsidR="00CF45D1" w:rsidRPr="0054527E" w:rsidRDefault="00CF45D1" w:rsidP="00CF7F62">
            <w:pPr>
              <w:pStyle w:val="Geenafstand"/>
              <w:rPr>
                <w:b/>
                <w:color w:val="FFFFFF" w:themeColor="background1"/>
              </w:rPr>
            </w:pPr>
          </w:p>
        </w:tc>
        <w:tc>
          <w:tcPr>
            <w:tcW w:w="1129" w:type="dxa"/>
            <w:shd w:val="clear" w:color="auto" w:fill="0B3B60"/>
          </w:tcPr>
          <w:p w14:paraId="3EE5C80A" w14:textId="77777777" w:rsidR="00CF45D1" w:rsidRPr="0054527E" w:rsidRDefault="00CF45D1" w:rsidP="00CF7F62">
            <w:pPr>
              <w:pStyle w:val="Geenafstand"/>
              <w:rPr>
                <w:b/>
                <w:color w:val="FFFFFF" w:themeColor="background1"/>
              </w:rPr>
            </w:pPr>
          </w:p>
        </w:tc>
      </w:tr>
      <w:tr w:rsidR="00CF45D1" w14:paraId="549FF5F5" w14:textId="77777777" w:rsidTr="00CF7F62">
        <w:tc>
          <w:tcPr>
            <w:tcW w:w="4390" w:type="dxa"/>
          </w:tcPr>
          <w:p w14:paraId="4F191694" w14:textId="77777777" w:rsidR="00CF45D1" w:rsidRDefault="00CF45D1" w:rsidP="00CF7F62">
            <w:pPr>
              <w:pStyle w:val="Geenafstand"/>
            </w:pPr>
            <w:r>
              <w:t xml:space="preserve">Electraverbruik </w:t>
            </w:r>
            <w:r w:rsidRPr="007977E8">
              <w:t>(grijs / groen)</w:t>
            </w:r>
          </w:p>
        </w:tc>
        <w:tc>
          <w:tcPr>
            <w:tcW w:w="1134" w:type="dxa"/>
          </w:tcPr>
          <w:p w14:paraId="108402E9" w14:textId="77777777" w:rsidR="00CF45D1" w:rsidRDefault="007977E8" w:rsidP="00CF7F62">
            <w:pPr>
              <w:pStyle w:val="Geenafstand"/>
            </w:pPr>
            <w:r>
              <w:t>19,5</w:t>
            </w:r>
          </w:p>
        </w:tc>
        <w:tc>
          <w:tcPr>
            <w:tcW w:w="1134" w:type="dxa"/>
          </w:tcPr>
          <w:p w14:paraId="337061A3" w14:textId="2F04A1E8" w:rsidR="00CF45D1" w:rsidRDefault="00740212" w:rsidP="00CF7F62">
            <w:pPr>
              <w:pStyle w:val="Geenafstand"/>
            </w:pPr>
            <w:r>
              <w:t>0,1</w:t>
            </w:r>
          </w:p>
        </w:tc>
        <w:tc>
          <w:tcPr>
            <w:tcW w:w="1275" w:type="dxa"/>
          </w:tcPr>
          <w:p w14:paraId="795E7E82" w14:textId="77777777" w:rsidR="00CF45D1" w:rsidRDefault="00CF45D1" w:rsidP="00CF7F62">
            <w:pPr>
              <w:pStyle w:val="Geenafstand"/>
            </w:pPr>
          </w:p>
        </w:tc>
        <w:tc>
          <w:tcPr>
            <w:tcW w:w="1129" w:type="dxa"/>
          </w:tcPr>
          <w:p w14:paraId="39282854" w14:textId="77777777" w:rsidR="00CF45D1" w:rsidRDefault="00CF45D1" w:rsidP="00CF7F62">
            <w:pPr>
              <w:pStyle w:val="Geenafstand"/>
            </w:pPr>
          </w:p>
        </w:tc>
      </w:tr>
      <w:tr w:rsidR="00CF45D1" w14:paraId="11EB3432" w14:textId="77777777" w:rsidTr="00CF7F62">
        <w:tc>
          <w:tcPr>
            <w:tcW w:w="4390" w:type="dxa"/>
          </w:tcPr>
          <w:p w14:paraId="17AB90DF" w14:textId="77777777" w:rsidR="00CF45D1" w:rsidRDefault="00CF45D1" w:rsidP="00CF7F62">
            <w:pPr>
              <w:pStyle w:val="Geenafstand"/>
            </w:pPr>
          </w:p>
        </w:tc>
        <w:tc>
          <w:tcPr>
            <w:tcW w:w="1134" w:type="dxa"/>
          </w:tcPr>
          <w:p w14:paraId="2BE17ED3" w14:textId="77777777" w:rsidR="00CF45D1" w:rsidRDefault="00CF45D1" w:rsidP="00CF7F62">
            <w:pPr>
              <w:pStyle w:val="Geenafstand"/>
            </w:pPr>
          </w:p>
        </w:tc>
        <w:tc>
          <w:tcPr>
            <w:tcW w:w="1134" w:type="dxa"/>
          </w:tcPr>
          <w:p w14:paraId="04CB26E5" w14:textId="77777777" w:rsidR="00CF45D1" w:rsidRDefault="00CF45D1" w:rsidP="00CF7F62">
            <w:pPr>
              <w:pStyle w:val="Geenafstand"/>
            </w:pPr>
          </w:p>
        </w:tc>
        <w:tc>
          <w:tcPr>
            <w:tcW w:w="1275" w:type="dxa"/>
          </w:tcPr>
          <w:p w14:paraId="009FC230" w14:textId="77777777" w:rsidR="00CF45D1" w:rsidRDefault="00CF45D1" w:rsidP="00CF7F62">
            <w:pPr>
              <w:pStyle w:val="Geenafstand"/>
            </w:pPr>
          </w:p>
        </w:tc>
        <w:tc>
          <w:tcPr>
            <w:tcW w:w="1129" w:type="dxa"/>
          </w:tcPr>
          <w:p w14:paraId="0BE95840" w14:textId="77777777" w:rsidR="00CF45D1" w:rsidRDefault="00CF45D1" w:rsidP="00CF7F62">
            <w:pPr>
              <w:pStyle w:val="Geenafstand"/>
            </w:pPr>
          </w:p>
        </w:tc>
      </w:tr>
      <w:tr w:rsidR="00CF45D1" w:rsidRPr="0054527E" w14:paraId="4F606187" w14:textId="77777777" w:rsidTr="00CF7F62">
        <w:tc>
          <w:tcPr>
            <w:tcW w:w="4390" w:type="dxa"/>
          </w:tcPr>
          <w:p w14:paraId="073E0FD6" w14:textId="77777777" w:rsidR="00CF45D1" w:rsidRPr="0054527E" w:rsidRDefault="00CF45D1" w:rsidP="00CF7F62">
            <w:pPr>
              <w:pStyle w:val="Geenafstand"/>
              <w:rPr>
                <w:b/>
              </w:rPr>
            </w:pPr>
            <w:r w:rsidRPr="0054527E">
              <w:rPr>
                <w:b/>
              </w:rPr>
              <w:t>Totaal scope  2</w:t>
            </w:r>
          </w:p>
        </w:tc>
        <w:tc>
          <w:tcPr>
            <w:tcW w:w="1134" w:type="dxa"/>
          </w:tcPr>
          <w:p w14:paraId="72F24045" w14:textId="77777777" w:rsidR="00CF45D1" w:rsidRPr="0054527E" w:rsidRDefault="00CF45D1" w:rsidP="00CF7F62">
            <w:pPr>
              <w:pStyle w:val="Geenafstand"/>
              <w:rPr>
                <w:b/>
              </w:rPr>
            </w:pPr>
          </w:p>
        </w:tc>
        <w:tc>
          <w:tcPr>
            <w:tcW w:w="1134" w:type="dxa"/>
          </w:tcPr>
          <w:p w14:paraId="5298901D" w14:textId="77777777" w:rsidR="00CF45D1" w:rsidRPr="0054527E" w:rsidRDefault="00CF45D1" w:rsidP="00CF7F62">
            <w:pPr>
              <w:pStyle w:val="Geenafstand"/>
              <w:rPr>
                <w:b/>
              </w:rPr>
            </w:pPr>
          </w:p>
        </w:tc>
        <w:tc>
          <w:tcPr>
            <w:tcW w:w="1275" w:type="dxa"/>
          </w:tcPr>
          <w:p w14:paraId="41DD8020" w14:textId="77777777" w:rsidR="00CF45D1" w:rsidRPr="0054527E" w:rsidRDefault="00CF45D1" w:rsidP="00CF7F62">
            <w:pPr>
              <w:pStyle w:val="Geenafstand"/>
              <w:rPr>
                <w:b/>
              </w:rPr>
            </w:pPr>
          </w:p>
        </w:tc>
        <w:tc>
          <w:tcPr>
            <w:tcW w:w="1129" w:type="dxa"/>
          </w:tcPr>
          <w:p w14:paraId="6989326D" w14:textId="77777777" w:rsidR="00CF45D1" w:rsidRPr="0054527E" w:rsidRDefault="00CF45D1" w:rsidP="00CF7F62">
            <w:pPr>
              <w:pStyle w:val="Geenafstand"/>
              <w:rPr>
                <w:b/>
              </w:rPr>
            </w:pPr>
          </w:p>
        </w:tc>
      </w:tr>
      <w:tr w:rsidR="00CF45D1" w:rsidRPr="0054527E" w14:paraId="58D7D4DD" w14:textId="77777777" w:rsidTr="00CF7F62">
        <w:tc>
          <w:tcPr>
            <w:tcW w:w="4390" w:type="dxa"/>
          </w:tcPr>
          <w:p w14:paraId="3F8A6164" w14:textId="77777777" w:rsidR="00CF45D1" w:rsidRPr="0054527E" w:rsidRDefault="00CF45D1" w:rsidP="00CF7F62">
            <w:pPr>
              <w:pStyle w:val="Geenafstand"/>
              <w:rPr>
                <w:b/>
              </w:rPr>
            </w:pPr>
          </w:p>
        </w:tc>
        <w:tc>
          <w:tcPr>
            <w:tcW w:w="1134" w:type="dxa"/>
          </w:tcPr>
          <w:p w14:paraId="3AC72201" w14:textId="77777777" w:rsidR="00CF45D1" w:rsidRPr="0054527E" w:rsidRDefault="00CF45D1" w:rsidP="00CF7F62">
            <w:pPr>
              <w:pStyle w:val="Geenafstand"/>
              <w:rPr>
                <w:b/>
              </w:rPr>
            </w:pPr>
          </w:p>
        </w:tc>
        <w:tc>
          <w:tcPr>
            <w:tcW w:w="1134" w:type="dxa"/>
          </w:tcPr>
          <w:p w14:paraId="047050B1" w14:textId="77777777" w:rsidR="00CF45D1" w:rsidRPr="0054527E" w:rsidRDefault="00CF45D1" w:rsidP="00CF7F62">
            <w:pPr>
              <w:pStyle w:val="Geenafstand"/>
              <w:rPr>
                <w:b/>
              </w:rPr>
            </w:pPr>
          </w:p>
        </w:tc>
        <w:tc>
          <w:tcPr>
            <w:tcW w:w="1275" w:type="dxa"/>
          </w:tcPr>
          <w:p w14:paraId="63D43EFC" w14:textId="77777777" w:rsidR="00CF45D1" w:rsidRPr="0054527E" w:rsidRDefault="00CF45D1" w:rsidP="00CF7F62">
            <w:pPr>
              <w:pStyle w:val="Geenafstand"/>
              <w:rPr>
                <w:b/>
              </w:rPr>
            </w:pPr>
          </w:p>
        </w:tc>
        <w:tc>
          <w:tcPr>
            <w:tcW w:w="1129" w:type="dxa"/>
          </w:tcPr>
          <w:p w14:paraId="60813B96" w14:textId="77777777" w:rsidR="00CF45D1" w:rsidRPr="0054527E" w:rsidRDefault="00CF45D1" w:rsidP="00CF7F62">
            <w:pPr>
              <w:pStyle w:val="Geenafstand"/>
              <w:rPr>
                <w:b/>
              </w:rPr>
            </w:pPr>
          </w:p>
        </w:tc>
      </w:tr>
      <w:tr w:rsidR="00CF45D1" w:rsidRPr="0054527E" w14:paraId="63071FE4" w14:textId="77777777" w:rsidTr="00CF7F62">
        <w:tc>
          <w:tcPr>
            <w:tcW w:w="4390" w:type="dxa"/>
            <w:shd w:val="clear" w:color="auto" w:fill="0B3B60"/>
          </w:tcPr>
          <w:p w14:paraId="6B0E0749" w14:textId="77777777" w:rsidR="00CF45D1" w:rsidRPr="0054527E" w:rsidRDefault="00CF45D1" w:rsidP="00CF7F62">
            <w:pPr>
              <w:pStyle w:val="Geenafstand"/>
              <w:rPr>
                <w:b/>
                <w:color w:val="FFFFFF" w:themeColor="background1"/>
              </w:rPr>
            </w:pPr>
            <w:r>
              <w:rPr>
                <w:b/>
                <w:color w:val="FFFFFF" w:themeColor="background1"/>
              </w:rPr>
              <w:t>Scope 3</w:t>
            </w:r>
          </w:p>
        </w:tc>
        <w:tc>
          <w:tcPr>
            <w:tcW w:w="1134" w:type="dxa"/>
            <w:shd w:val="clear" w:color="auto" w:fill="0B3B60"/>
          </w:tcPr>
          <w:p w14:paraId="143A7608" w14:textId="77777777" w:rsidR="00CF45D1" w:rsidRPr="0054527E" w:rsidRDefault="00CF45D1" w:rsidP="00CF7F62">
            <w:pPr>
              <w:pStyle w:val="Geenafstand"/>
              <w:rPr>
                <w:b/>
                <w:color w:val="FFFFFF" w:themeColor="background1"/>
              </w:rPr>
            </w:pPr>
          </w:p>
        </w:tc>
        <w:tc>
          <w:tcPr>
            <w:tcW w:w="1134" w:type="dxa"/>
            <w:shd w:val="clear" w:color="auto" w:fill="0B3B60"/>
          </w:tcPr>
          <w:p w14:paraId="21CEC3C9" w14:textId="77777777" w:rsidR="00CF45D1" w:rsidRPr="0054527E" w:rsidRDefault="00CF45D1" w:rsidP="00CF7F62">
            <w:pPr>
              <w:pStyle w:val="Geenafstand"/>
              <w:rPr>
                <w:b/>
                <w:color w:val="FFFFFF" w:themeColor="background1"/>
              </w:rPr>
            </w:pPr>
          </w:p>
        </w:tc>
        <w:tc>
          <w:tcPr>
            <w:tcW w:w="1275" w:type="dxa"/>
            <w:shd w:val="clear" w:color="auto" w:fill="0B3B60"/>
          </w:tcPr>
          <w:p w14:paraId="1439B650" w14:textId="77777777" w:rsidR="00CF45D1" w:rsidRPr="0054527E" w:rsidRDefault="00CF45D1" w:rsidP="00CF7F62">
            <w:pPr>
              <w:pStyle w:val="Geenafstand"/>
              <w:rPr>
                <w:b/>
                <w:color w:val="FFFFFF" w:themeColor="background1"/>
              </w:rPr>
            </w:pPr>
          </w:p>
        </w:tc>
        <w:tc>
          <w:tcPr>
            <w:tcW w:w="1129" w:type="dxa"/>
            <w:shd w:val="clear" w:color="auto" w:fill="0B3B60"/>
          </w:tcPr>
          <w:p w14:paraId="0513C8B3" w14:textId="77777777" w:rsidR="00CF45D1" w:rsidRPr="0054527E" w:rsidRDefault="00CF45D1" w:rsidP="00CF7F62">
            <w:pPr>
              <w:pStyle w:val="Geenafstand"/>
              <w:rPr>
                <w:b/>
                <w:color w:val="FFFFFF" w:themeColor="background1"/>
              </w:rPr>
            </w:pPr>
          </w:p>
        </w:tc>
      </w:tr>
      <w:tr w:rsidR="00CF45D1" w14:paraId="618604CC" w14:textId="77777777" w:rsidTr="00CF7F62">
        <w:tc>
          <w:tcPr>
            <w:tcW w:w="4390" w:type="dxa"/>
          </w:tcPr>
          <w:p w14:paraId="235F55C1" w14:textId="77777777" w:rsidR="00CF45D1" w:rsidRDefault="00CF45D1" w:rsidP="00CF7F62">
            <w:pPr>
              <w:pStyle w:val="Geenafstand"/>
            </w:pPr>
            <w:r>
              <w:t xml:space="preserve">Business travel </w:t>
            </w:r>
          </w:p>
        </w:tc>
        <w:tc>
          <w:tcPr>
            <w:tcW w:w="1134" w:type="dxa"/>
          </w:tcPr>
          <w:p w14:paraId="1B69A47B" w14:textId="77777777" w:rsidR="00CF45D1" w:rsidRDefault="00997C99" w:rsidP="00CF7F62">
            <w:pPr>
              <w:pStyle w:val="Geenafstand"/>
            </w:pPr>
            <w:r>
              <w:t>0</w:t>
            </w:r>
          </w:p>
        </w:tc>
        <w:tc>
          <w:tcPr>
            <w:tcW w:w="1134" w:type="dxa"/>
          </w:tcPr>
          <w:p w14:paraId="3ED7D495" w14:textId="5FC3FF2C" w:rsidR="00CF45D1" w:rsidRDefault="00740212" w:rsidP="00CF7F62">
            <w:pPr>
              <w:pStyle w:val="Geenafstand"/>
            </w:pPr>
            <w:r>
              <w:t>0</w:t>
            </w:r>
          </w:p>
        </w:tc>
        <w:tc>
          <w:tcPr>
            <w:tcW w:w="1275" w:type="dxa"/>
          </w:tcPr>
          <w:p w14:paraId="7903200F" w14:textId="77777777" w:rsidR="00CF45D1" w:rsidRDefault="00CF45D1" w:rsidP="00CF7F62">
            <w:pPr>
              <w:pStyle w:val="Geenafstand"/>
            </w:pPr>
          </w:p>
        </w:tc>
        <w:tc>
          <w:tcPr>
            <w:tcW w:w="1129" w:type="dxa"/>
          </w:tcPr>
          <w:p w14:paraId="07F1C7AE" w14:textId="77777777" w:rsidR="00CF45D1" w:rsidRDefault="00CF45D1" w:rsidP="00CF7F62">
            <w:pPr>
              <w:pStyle w:val="Geenafstand"/>
            </w:pPr>
          </w:p>
        </w:tc>
      </w:tr>
      <w:tr w:rsidR="00CF45D1" w14:paraId="505B61F6" w14:textId="77777777" w:rsidTr="00CF7F62">
        <w:tc>
          <w:tcPr>
            <w:tcW w:w="4390" w:type="dxa"/>
          </w:tcPr>
          <w:p w14:paraId="6D72F4DA" w14:textId="77777777" w:rsidR="00CF45D1" w:rsidRPr="0054527E" w:rsidRDefault="00CF45D1" w:rsidP="00CF7F62">
            <w:pPr>
              <w:pStyle w:val="Geenafstand"/>
              <w:rPr>
                <w:b/>
              </w:rPr>
            </w:pPr>
          </w:p>
        </w:tc>
        <w:tc>
          <w:tcPr>
            <w:tcW w:w="1134" w:type="dxa"/>
          </w:tcPr>
          <w:p w14:paraId="6E283ADD" w14:textId="77777777" w:rsidR="00CF45D1" w:rsidRDefault="00CF45D1" w:rsidP="00CF7F62">
            <w:pPr>
              <w:pStyle w:val="Geenafstand"/>
            </w:pPr>
          </w:p>
        </w:tc>
        <w:tc>
          <w:tcPr>
            <w:tcW w:w="1134" w:type="dxa"/>
          </w:tcPr>
          <w:p w14:paraId="1867313D" w14:textId="77777777" w:rsidR="00CF45D1" w:rsidRDefault="00CF45D1" w:rsidP="00CF7F62">
            <w:pPr>
              <w:pStyle w:val="Geenafstand"/>
            </w:pPr>
          </w:p>
        </w:tc>
        <w:tc>
          <w:tcPr>
            <w:tcW w:w="1275" w:type="dxa"/>
          </w:tcPr>
          <w:p w14:paraId="49D8BBDD" w14:textId="77777777" w:rsidR="00CF45D1" w:rsidRDefault="00CF45D1" w:rsidP="00CF7F62">
            <w:pPr>
              <w:pStyle w:val="Geenafstand"/>
            </w:pPr>
          </w:p>
        </w:tc>
        <w:tc>
          <w:tcPr>
            <w:tcW w:w="1129" w:type="dxa"/>
          </w:tcPr>
          <w:p w14:paraId="1AABEACC" w14:textId="77777777" w:rsidR="00CF45D1" w:rsidRDefault="00CF45D1" w:rsidP="00CF7F62">
            <w:pPr>
              <w:pStyle w:val="Geenafstand"/>
            </w:pPr>
          </w:p>
        </w:tc>
      </w:tr>
      <w:tr w:rsidR="00CF45D1" w:rsidRPr="0054527E" w14:paraId="245D1C44" w14:textId="77777777" w:rsidTr="00CF7F62">
        <w:tc>
          <w:tcPr>
            <w:tcW w:w="4390" w:type="dxa"/>
          </w:tcPr>
          <w:p w14:paraId="5CC9E9A4" w14:textId="77777777" w:rsidR="00CF45D1" w:rsidRPr="0054527E" w:rsidRDefault="00CF45D1" w:rsidP="00CF7F62">
            <w:pPr>
              <w:pStyle w:val="Geenafstand"/>
              <w:rPr>
                <w:b/>
              </w:rPr>
            </w:pPr>
            <w:r>
              <w:rPr>
                <w:b/>
              </w:rPr>
              <w:t xml:space="preserve">Totaal scope 1, </w:t>
            </w:r>
            <w:r w:rsidRPr="0054527E">
              <w:rPr>
                <w:b/>
              </w:rPr>
              <w:t>2</w:t>
            </w:r>
            <w:r>
              <w:rPr>
                <w:b/>
              </w:rPr>
              <w:t xml:space="preserve"> &amp; 3</w:t>
            </w:r>
          </w:p>
        </w:tc>
        <w:tc>
          <w:tcPr>
            <w:tcW w:w="1134" w:type="dxa"/>
          </w:tcPr>
          <w:p w14:paraId="49151929" w14:textId="40284E8D" w:rsidR="00CF45D1" w:rsidRPr="0054527E" w:rsidRDefault="00997C99" w:rsidP="00CF7F62">
            <w:pPr>
              <w:pStyle w:val="Geenafstand"/>
              <w:rPr>
                <w:b/>
              </w:rPr>
            </w:pPr>
            <w:r>
              <w:rPr>
                <w:b/>
              </w:rPr>
              <w:t>1</w:t>
            </w:r>
            <w:r w:rsidR="00232741">
              <w:rPr>
                <w:b/>
              </w:rPr>
              <w:t>.</w:t>
            </w:r>
            <w:r>
              <w:rPr>
                <w:b/>
              </w:rPr>
              <w:t>5</w:t>
            </w:r>
            <w:r w:rsidR="00740212">
              <w:rPr>
                <w:b/>
              </w:rPr>
              <w:t>41</w:t>
            </w:r>
          </w:p>
        </w:tc>
        <w:tc>
          <w:tcPr>
            <w:tcW w:w="1134" w:type="dxa"/>
          </w:tcPr>
          <w:p w14:paraId="497318E7" w14:textId="043A7603" w:rsidR="00CF45D1" w:rsidRPr="0054527E" w:rsidRDefault="00740212" w:rsidP="00CF7F62">
            <w:pPr>
              <w:pStyle w:val="Geenafstand"/>
              <w:rPr>
                <w:b/>
              </w:rPr>
            </w:pPr>
            <w:r>
              <w:rPr>
                <w:b/>
              </w:rPr>
              <w:t>1.588,3</w:t>
            </w:r>
          </w:p>
        </w:tc>
        <w:tc>
          <w:tcPr>
            <w:tcW w:w="1275" w:type="dxa"/>
          </w:tcPr>
          <w:p w14:paraId="5F8F3C0B" w14:textId="77777777" w:rsidR="00CF45D1" w:rsidRPr="0054527E" w:rsidRDefault="00CF45D1" w:rsidP="00CF7F62">
            <w:pPr>
              <w:pStyle w:val="Geenafstand"/>
              <w:rPr>
                <w:b/>
              </w:rPr>
            </w:pPr>
          </w:p>
        </w:tc>
        <w:tc>
          <w:tcPr>
            <w:tcW w:w="1129" w:type="dxa"/>
          </w:tcPr>
          <w:p w14:paraId="14FF61F1" w14:textId="77777777" w:rsidR="00CF45D1" w:rsidRPr="0054527E" w:rsidRDefault="00CF45D1" w:rsidP="00CF7F62">
            <w:pPr>
              <w:pStyle w:val="Geenafstand"/>
              <w:rPr>
                <w:b/>
              </w:rPr>
            </w:pPr>
          </w:p>
        </w:tc>
      </w:tr>
      <w:tr w:rsidR="00CF45D1" w14:paraId="0B58B448" w14:textId="77777777" w:rsidTr="00CF7F62">
        <w:tc>
          <w:tcPr>
            <w:tcW w:w="4390" w:type="dxa"/>
          </w:tcPr>
          <w:p w14:paraId="23121BA5" w14:textId="77777777" w:rsidR="00CF45D1" w:rsidRDefault="00CF45D1" w:rsidP="00CF7F62">
            <w:pPr>
              <w:pStyle w:val="Geenafstand"/>
            </w:pPr>
          </w:p>
        </w:tc>
        <w:tc>
          <w:tcPr>
            <w:tcW w:w="1134" w:type="dxa"/>
          </w:tcPr>
          <w:p w14:paraId="08BB529A" w14:textId="77777777" w:rsidR="00CF45D1" w:rsidRDefault="00CF45D1" w:rsidP="00CF7F62">
            <w:pPr>
              <w:pStyle w:val="Geenafstand"/>
            </w:pPr>
          </w:p>
        </w:tc>
        <w:tc>
          <w:tcPr>
            <w:tcW w:w="1134" w:type="dxa"/>
          </w:tcPr>
          <w:p w14:paraId="155C8044" w14:textId="77777777" w:rsidR="00CF45D1" w:rsidRDefault="00CF45D1" w:rsidP="00CF7F62">
            <w:pPr>
              <w:pStyle w:val="Geenafstand"/>
            </w:pPr>
          </w:p>
        </w:tc>
        <w:tc>
          <w:tcPr>
            <w:tcW w:w="1275" w:type="dxa"/>
          </w:tcPr>
          <w:p w14:paraId="18B16B86" w14:textId="77777777" w:rsidR="00CF45D1" w:rsidRDefault="00CF45D1" w:rsidP="00CF7F62">
            <w:pPr>
              <w:pStyle w:val="Geenafstand"/>
            </w:pPr>
          </w:p>
        </w:tc>
        <w:tc>
          <w:tcPr>
            <w:tcW w:w="1129" w:type="dxa"/>
          </w:tcPr>
          <w:p w14:paraId="6976BDB5" w14:textId="77777777" w:rsidR="00CF45D1" w:rsidRDefault="00CF45D1" w:rsidP="00CF7F62">
            <w:pPr>
              <w:pStyle w:val="Geenafstand"/>
            </w:pPr>
          </w:p>
        </w:tc>
      </w:tr>
      <w:tr w:rsidR="00CF45D1" w:rsidRPr="0054527E" w14:paraId="5BB26D69" w14:textId="77777777" w:rsidTr="00CF7F62">
        <w:tc>
          <w:tcPr>
            <w:tcW w:w="4390" w:type="dxa"/>
            <w:shd w:val="clear" w:color="auto" w:fill="0B3B60"/>
          </w:tcPr>
          <w:p w14:paraId="6508D45E" w14:textId="77777777" w:rsidR="00CF45D1" w:rsidRPr="0054527E" w:rsidRDefault="00CF45D1" w:rsidP="00CF7F62">
            <w:pPr>
              <w:pStyle w:val="Geenafstand"/>
              <w:rPr>
                <w:b/>
                <w:color w:val="FFFFFF" w:themeColor="background1"/>
              </w:rPr>
            </w:pPr>
            <w:r w:rsidRPr="0054527E">
              <w:rPr>
                <w:b/>
                <w:color w:val="FFFFFF" w:themeColor="background1"/>
              </w:rPr>
              <w:t>Brutomarge (t.o.v. basisjaar)</w:t>
            </w:r>
          </w:p>
        </w:tc>
        <w:tc>
          <w:tcPr>
            <w:tcW w:w="1134" w:type="dxa"/>
            <w:shd w:val="clear" w:color="auto" w:fill="0B3B60"/>
          </w:tcPr>
          <w:p w14:paraId="1EC80C6B" w14:textId="77777777" w:rsidR="00CF45D1" w:rsidRPr="0054527E" w:rsidRDefault="00CF45D1" w:rsidP="00CF7F62">
            <w:pPr>
              <w:rPr>
                <w:color w:val="FFFFFF" w:themeColor="background1"/>
              </w:rPr>
            </w:pPr>
            <w:r w:rsidRPr="0054527E">
              <w:rPr>
                <w:color w:val="FFFFFF" w:themeColor="background1"/>
              </w:rPr>
              <w:t>100%</w:t>
            </w:r>
          </w:p>
        </w:tc>
        <w:tc>
          <w:tcPr>
            <w:tcW w:w="1134" w:type="dxa"/>
            <w:shd w:val="clear" w:color="auto" w:fill="0B3B60"/>
          </w:tcPr>
          <w:p w14:paraId="7B91186B" w14:textId="1AC54A4E" w:rsidR="00CF45D1" w:rsidRPr="0054527E" w:rsidRDefault="00E46816" w:rsidP="00CF7F62">
            <w:pPr>
              <w:pStyle w:val="Geenafstand"/>
              <w:rPr>
                <w:color w:val="FFFFFF" w:themeColor="background1"/>
              </w:rPr>
            </w:pPr>
            <w:r>
              <w:rPr>
                <w:color w:val="FFFFFF" w:themeColor="background1"/>
              </w:rPr>
              <w:t>+1,98%</w:t>
            </w:r>
          </w:p>
        </w:tc>
        <w:tc>
          <w:tcPr>
            <w:tcW w:w="1275" w:type="dxa"/>
            <w:shd w:val="clear" w:color="auto" w:fill="0B3B60"/>
          </w:tcPr>
          <w:p w14:paraId="0862BFE1" w14:textId="77777777" w:rsidR="00CF45D1" w:rsidRPr="0054527E" w:rsidRDefault="00CF45D1" w:rsidP="00CF7F62">
            <w:pPr>
              <w:pStyle w:val="Geenafstand"/>
              <w:rPr>
                <w:color w:val="FFFFFF" w:themeColor="background1"/>
              </w:rPr>
            </w:pPr>
          </w:p>
        </w:tc>
        <w:tc>
          <w:tcPr>
            <w:tcW w:w="1129" w:type="dxa"/>
            <w:shd w:val="clear" w:color="auto" w:fill="0B3B60"/>
          </w:tcPr>
          <w:p w14:paraId="4F67C9B8" w14:textId="77777777" w:rsidR="00CF45D1" w:rsidRPr="0054527E" w:rsidRDefault="00CF45D1" w:rsidP="00CF7F62">
            <w:pPr>
              <w:pStyle w:val="Geenafstand"/>
              <w:rPr>
                <w:color w:val="FFFFFF" w:themeColor="background1"/>
              </w:rPr>
            </w:pPr>
          </w:p>
        </w:tc>
      </w:tr>
      <w:tr w:rsidR="00CF45D1" w:rsidRPr="0054527E" w14:paraId="38EA8988" w14:textId="77777777" w:rsidTr="00CF7F62">
        <w:tc>
          <w:tcPr>
            <w:tcW w:w="4390" w:type="dxa"/>
            <w:shd w:val="clear" w:color="auto" w:fill="0B3B60"/>
          </w:tcPr>
          <w:p w14:paraId="671C3F9E" w14:textId="77777777" w:rsidR="00CF45D1" w:rsidRPr="0054527E" w:rsidRDefault="00CF45D1" w:rsidP="00CF7F62">
            <w:pPr>
              <w:rPr>
                <w:b/>
                <w:color w:val="FFFFFF" w:themeColor="background1"/>
              </w:rPr>
            </w:pPr>
            <w:r w:rsidRPr="0054527E">
              <w:rPr>
                <w:b/>
                <w:color w:val="FFFFFF" w:themeColor="background1"/>
              </w:rPr>
              <w:t>Omzet (t.o.v. basisjaar)</w:t>
            </w:r>
          </w:p>
        </w:tc>
        <w:tc>
          <w:tcPr>
            <w:tcW w:w="1134" w:type="dxa"/>
            <w:shd w:val="clear" w:color="auto" w:fill="0B3B60"/>
          </w:tcPr>
          <w:p w14:paraId="41C16E82" w14:textId="77777777" w:rsidR="00CF45D1" w:rsidRPr="0054527E" w:rsidRDefault="00CF45D1" w:rsidP="00CF7F62">
            <w:pPr>
              <w:rPr>
                <w:color w:val="FFFFFF" w:themeColor="background1"/>
              </w:rPr>
            </w:pPr>
            <w:r w:rsidRPr="0054527E">
              <w:rPr>
                <w:color w:val="FFFFFF" w:themeColor="background1"/>
              </w:rPr>
              <w:t>100%</w:t>
            </w:r>
          </w:p>
        </w:tc>
        <w:tc>
          <w:tcPr>
            <w:tcW w:w="1134" w:type="dxa"/>
            <w:shd w:val="clear" w:color="auto" w:fill="0B3B60"/>
          </w:tcPr>
          <w:p w14:paraId="34B95076" w14:textId="05293FE1" w:rsidR="00CF45D1" w:rsidRPr="0054527E" w:rsidRDefault="00E46816" w:rsidP="00CF7F62">
            <w:pPr>
              <w:pStyle w:val="Geenafstand"/>
              <w:rPr>
                <w:color w:val="FFFFFF" w:themeColor="background1"/>
              </w:rPr>
            </w:pPr>
            <w:r>
              <w:rPr>
                <w:color w:val="FFFFFF" w:themeColor="background1"/>
              </w:rPr>
              <w:t>+0,40%</w:t>
            </w:r>
          </w:p>
        </w:tc>
        <w:tc>
          <w:tcPr>
            <w:tcW w:w="1275" w:type="dxa"/>
            <w:shd w:val="clear" w:color="auto" w:fill="0B3B60"/>
          </w:tcPr>
          <w:p w14:paraId="44509389" w14:textId="77777777" w:rsidR="00CF45D1" w:rsidRPr="0054527E" w:rsidRDefault="00CF45D1" w:rsidP="00CF7F62">
            <w:pPr>
              <w:pStyle w:val="Geenafstand"/>
              <w:rPr>
                <w:color w:val="FFFFFF" w:themeColor="background1"/>
              </w:rPr>
            </w:pPr>
          </w:p>
        </w:tc>
        <w:tc>
          <w:tcPr>
            <w:tcW w:w="1129" w:type="dxa"/>
            <w:shd w:val="clear" w:color="auto" w:fill="0B3B60"/>
          </w:tcPr>
          <w:p w14:paraId="6238D259" w14:textId="77777777" w:rsidR="00CF45D1" w:rsidRPr="0054527E" w:rsidRDefault="00CF45D1" w:rsidP="00CF7F62">
            <w:pPr>
              <w:pStyle w:val="Geenafstand"/>
              <w:rPr>
                <w:color w:val="FFFFFF" w:themeColor="background1"/>
              </w:rPr>
            </w:pPr>
          </w:p>
        </w:tc>
      </w:tr>
      <w:tr w:rsidR="00CF45D1" w:rsidRPr="0054527E" w14:paraId="44BD0019" w14:textId="77777777" w:rsidTr="00CF7F62">
        <w:tc>
          <w:tcPr>
            <w:tcW w:w="4390" w:type="dxa"/>
            <w:shd w:val="clear" w:color="auto" w:fill="0B3B60"/>
          </w:tcPr>
          <w:p w14:paraId="18AB0126" w14:textId="77777777" w:rsidR="00CF45D1" w:rsidRPr="00A27A7C" w:rsidRDefault="00CF45D1" w:rsidP="00CF7F62">
            <w:pPr>
              <w:rPr>
                <w:b/>
                <w:color w:val="FFFFFF" w:themeColor="background1"/>
                <w:lang w:val="en-US"/>
              </w:rPr>
            </w:pPr>
            <w:r w:rsidRPr="00A27A7C">
              <w:rPr>
                <w:b/>
                <w:color w:val="FFFFFF" w:themeColor="background1"/>
                <w:lang w:val="en-US"/>
              </w:rPr>
              <w:t>CO2 scope 1 (t.o.v. basisjaar)</w:t>
            </w:r>
          </w:p>
        </w:tc>
        <w:tc>
          <w:tcPr>
            <w:tcW w:w="1134" w:type="dxa"/>
            <w:shd w:val="clear" w:color="auto" w:fill="0B3B60"/>
          </w:tcPr>
          <w:p w14:paraId="7357C101" w14:textId="77777777" w:rsidR="00CF45D1" w:rsidRPr="0054527E" w:rsidRDefault="00CF45D1" w:rsidP="00CF7F62">
            <w:pPr>
              <w:rPr>
                <w:color w:val="FFFFFF" w:themeColor="background1"/>
              </w:rPr>
            </w:pPr>
            <w:r w:rsidRPr="0054527E">
              <w:rPr>
                <w:color w:val="FFFFFF" w:themeColor="background1"/>
              </w:rPr>
              <w:t>100%</w:t>
            </w:r>
          </w:p>
        </w:tc>
        <w:tc>
          <w:tcPr>
            <w:tcW w:w="1134" w:type="dxa"/>
            <w:shd w:val="clear" w:color="auto" w:fill="0B3B60"/>
          </w:tcPr>
          <w:p w14:paraId="08943808" w14:textId="5E7C2202" w:rsidR="00CF45D1" w:rsidRPr="0054527E" w:rsidRDefault="00E46816" w:rsidP="00CF7F62">
            <w:pPr>
              <w:pStyle w:val="Geenafstand"/>
              <w:rPr>
                <w:color w:val="FFFFFF" w:themeColor="background1"/>
              </w:rPr>
            </w:pPr>
            <w:r>
              <w:rPr>
                <w:color w:val="FFFFFF" w:themeColor="background1"/>
              </w:rPr>
              <w:t>+4,38%</w:t>
            </w:r>
          </w:p>
        </w:tc>
        <w:tc>
          <w:tcPr>
            <w:tcW w:w="1275" w:type="dxa"/>
            <w:shd w:val="clear" w:color="auto" w:fill="0B3B60"/>
          </w:tcPr>
          <w:p w14:paraId="39363757" w14:textId="77777777" w:rsidR="00CF45D1" w:rsidRPr="0054527E" w:rsidRDefault="00CF45D1" w:rsidP="00CF7F62">
            <w:pPr>
              <w:pStyle w:val="Geenafstand"/>
              <w:rPr>
                <w:color w:val="FFFFFF" w:themeColor="background1"/>
              </w:rPr>
            </w:pPr>
          </w:p>
        </w:tc>
        <w:tc>
          <w:tcPr>
            <w:tcW w:w="1129" w:type="dxa"/>
            <w:shd w:val="clear" w:color="auto" w:fill="0B3B60"/>
          </w:tcPr>
          <w:p w14:paraId="6FF5D36D" w14:textId="77777777" w:rsidR="00CF45D1" w:rsidRPr="0054527E" w:rsidRDefault="00CF45D1" w:rsidP="00CF7F62">
            <w:pPr>
              <w:pStyle w:val="Geenafstand"/>
              <w:rPr>
                <w:color w:val="FFFFFF" w:themeColor="background1"/>
              </w:rPr>
            </w:pPr>
          </w:p>
        </w:tc>
      </w:tr>
      <w:tr w:rsidR="00CF45D1" w:rsidRPr="0054527E" w14:paraId="122691F9" w14:textId="77777777" w:rsidTr="00CF7F62">
        <w:tc>
          <w:tcPr>
            <w:tcW w:w="4390" w:type="dxa"/>
            <w:shd w:val="clear" w:color="auto" w:fill="0B3B60"/>
          </w:tcPr>
          <w:p w14:paraId="21B99088" w14:textId="77777777" w:rsidR="00CF45D1" w:rsidRPr="00A27A7C" w:rsidRDefault="00CF45D1" w:rsidP="00CF7F62">
            <w:pPr>
              <w:rPr>
                <w:b/>
                <w:color w:val="FFFFFF" w:themeColor="background1"/>
                <w:lang w:val="en-US"/>
              </w:rPr>
            </w:pPr>
            <w:r w:rsidRPr="00A27A7C">
              <w:rPr>
                <w:b/>
                <w:color w:val="FFFFFF" w:themeColor="background1"/>
                <w:lang w:val="en-US"/>
              </w:rPr>
              <w:t>CO2 scope 2 (t.o.v. basisjaar)</w:t>
            </w:r>
          </w:p>
        </w:tc>
        <w:tc>
          <w:tcPr>
            <w:tcW w:w="1134" w:type="dxa"/>
            <w:shd w:val="clear" w:color="auto" w:fill="0B3B60"/>
          </w:tcPr>
          <w:p w14:paraId="66EA75E3" w14:textId="77777777" w:rsidR="00CF45D1" w:rsidRPr="0054527E" w:rsidRDefault="00CF45D1" w:rsidP="00CF7F62">
            <w:pPr>
              <w:rPr>
                <w:color w:val="FFFFFF" w:themeColor="background1"/>
              </w:rPr>
            </w:pPr>
            <w:r w:rsidRPr="0054527E">
              <w:rPr>
                <w:color w:val="FFFFFF" w:themeColor="background1"/>
              </w:rPr>
              <w:t>100%</w:t>
            </w:r>
          </w:p>
        </w:tc>
        <w:tc>
          <w:tcPr>
            <w:tcW w:w="1134" w:type="dxa"/>
            <w:shd w:val="clear" w:color="auto" w:fill="0B3B60"/>
          </w:tcPr>
          <w:p w14:paraId="4BB9866B" w14:textId="15A5CD49" w:rsidR="00CF45D1" w:rsidRPr="0054527E" w:rsidRDefault="00D40A71" w:rsidP="00CF7F62">
            <w:pPr>
              <w:pStyle w:val="Geenafstand"/>
              <w:rPr>
                <w:color w:val="FFFFFF" w:themeColor="background1"/>
              </w:rPr>
            </w:pPr>
            <w:r>
              <w:rPr>
                <w:color w:val="FFFFFF" w:themeColor="background1"/>
              </w:rPr>
              <w:t>-99,49%</w:t>
            </w:r>
          </w:p>
        </w:tc>
        <w:tc>
          <w:tcPr>
            <w:tcW w:w="1275" w:type="dxa"/>
            <w:shd w:val="clear" w:color="auto" w:fill="0B3B60"/>
          </w:tcPr>
          <w:p w14:paraId="27668180" w14:textId="77777777" w:rsidR="00CF45D1" w:rsidRPr="0054527E" w:rsidRDefault="00CF45D1" w:rsidP="00CF7F62">
            <w:pPr>
              <w:pStyle w:val="Geenafstand"/>
              <w:rPr>
                <w:color w:val="FFFFFF" w:themeColor="background1"/>
              </w:rPr>
            </w:pPr>
          </w:p>
        </w:tc>
        <w:tc>
          <w:tcPr>
            <w:tcW w:w="1129" w:type="dxa"/>
            <w:shd w:val="clear" w:color="auto" w:fill="0B3B60"/>
          </w:tcPr>
          <w:p w14:paraId="2282E20B" w14:textId="77777777" w:rsidR="00CF45D1" w:rsidRPr="0054527E" w:rsidRDefault="00CF45D1" w:rsidP="00CF7F62">
            <w:pPr>
              <w:pStyle w:val="Geenafstand"/>
              <w:rPr>
                <w:color w:val="FFFFFF" w:themeColor="background1"/>
              </w:rPr>
            </w:pPr>
          </w:p>
        </w:tc>
      </w:tr>
      <w:tr w:rsidR="00CF45D1" w:rsidRPr="0054527E" w14:paraId="47411E00" w14:textId="77777777" w:rsidTr="00CF7F62">
        <w:tc>
          <w:tcPr>
            <w:tcW w:w="4390" w:type="dxa"/>
            <w:shd w:val="clear" w:color="auto" w:fill="0B3B60"/>
          </w:tcPr>
          <w:p w14:paraId="6CBAA5FE" w14:textId="77777777" w:rsidR="00CF45D1" w:rsidRPr="00A27A7C" w:rsidRDefault="00CF45D1" w:rsidP="00CF7F62">
            <w:pPr>
              <w:rPr>
                <w:b/>
                <w:color w:val="FFFFFF" w:themeColor="background1"/>
                <w:lang w:val="en-US"/>
              </w:rPr>
            </w:pPr>
            <w:r w:rsidRPr="00A27A7C">
              <w:rPr>
                <w:b/>
                <w:color w:val="FFFFFF" w:themeColor="background1"/>
                <w:lang w:val="en-US"/>
              </w:rPr>
              <w:t>CO2 scope 3 (t.o.v. basisjaar)</w:t>
            </w:r>
          </w:p>
        </w:tc>
        <w:tc>
          <w:tcPr>
            <w:tcW w:w="1134" w:type="dxa"/>
            <w:shd w:val="clear" w:color="auto" w:fill="0B3B60"/>
          </w:tcPr>
          <w:p w14:paraId="4F7EE561" w14:textId="77777777" w:rsidR="00CF45D1" w:rsidRPr="0054527E" w:rsidRDefault="00CF45D1" w:rsidP="00CF7F62">
            <w:pPr>
              <w:rPr>
                <w:color w:val="FFFFFF" w:themeColor="background1"/>
              </w:rPr>
            </w:pPr>
            <w:r w:rsidRPr="0054527E">
              <w:rPr>
                <w:color w:val="FFFFFF" w:themeColor="background1"/>
              </w:rPr>
              <w:t>100%</w:t>
            </w:r>
          </w:p>
        </w:tc>
        <w:tc>
          <w:tcPr>
            <w:tcW w:w="1134" w:type="dxa"/>
            <w:shd w:val="clear" w:color="auto" w:fill="0B3B60"/>
          </w:tcPr>
          <w:p w14:paraId="5232877D" w14:textId="34A96AE0" w:rsidR="00CF45D1" w:rsidRPr="0054527E" w:rsidRDefault="00D40A71" w:rsidP="00CF7F62">
            <w:pPr>
              <w:pStyle w:val="Geenafstand"/>
              <w:rPr>
                <w:color w:val="FFFFFF" w:themeColor="background1"/>
              </w:rPr>
            </w:pPr>
            <w:r>
              <w:rPr>
                <w:color w:val="FFFFFF" w:themeColor="background1"/>
              </w:rPr>
              <w:t>NVT</w:t>
            </w:r>
          </w:p>
        </w:tc>
        <w:tc>
          <w:tcPr>
            <w:tcW w:w="1275" w:type="dxa"/>
            <w:shd w:val="clear" w:color="auto" w:fill="0B3B60"/>
          </w:tcPr>
          <w:p w14:paraId="7784AAA9" w14:textId="77777777" w:rsidR="00CF45D1" w:rsidRPr="0054527E" w:rsidRDefault="00CF45D1" w:rsidP="00CF7F62">
            <w:pPr>
              <w:pStyle w:val="Geenafstand"/>
              <w:rPr>
                <w:color w:val="FFFFFF" w:themeColor="background1"/>
              </w:rPr>
            </w:pPr>
          </w:p>
        </w:tc>
        <w:tc>
          <w:tcPr>
            <w:tcW w:w="1129" w:type="dxa"/>
            <w:shd w:val="clear" w:color="auto" w:fill="0B3B60"/>
          </w:tcPr>
          <w:p w14:paraId="379416F2" w14:textId="77777777" w:rsidR="00CF45D1" w:rsidRPr="0054527E" w:rsidRDefault="00CF45D1" w:rsidP="00CF7F62">
            <w:pPr>
              <w:pStyle w:val="Geenafstand"/>
              <w:rPr>
                <w:color w:val="FFFFFF" w:themeColor="background1"/>
              </w:rPr>
            </w:pPr>
          </w:p>
        </w:tc>
      </w:tr>
      <w:tr w:rsidR="00CF45D1" w:rsidRPr="0054527E" w14:paraId="2B6F12BB" w14:textId="77777777" w:rsidTr="00CF7F62">
        <w:tc>
          <w:tcPr>
            <w:tcW w:w="4390" w:type="dxa"/>
            <w:shd w:val="clear" w:color="auto" w:fill="0B3B60"/>
          </w:tcPr>
          <w:p w14:paraId="2828C8E8" w14:textId="77777777" w:rsidR="00CF45D1" w:rsidRPr="0054527E" w:rsidRDefault="00CF45D1" w:rsidP="00CF7F62">
            <w:pPr>
              <w:rPr>
                <w:b/>
                <w:color w:val="FFFFFF" w:themeColor="background1"/>
              </w:rPr>
            </w:pPr>
            <w:r w:rsidRPr="0054527E">
              <w:rPr>
                <w:b/>
                <w:color w:val="FFFFFF" w:themeColor="background1"/>
              </w:rPr>
              <w:t>Reductie scope 1 (BM- CO</w:t>
            </w:r>
            <w:r w:rsidRPr="0054527E">
              <w:rPr>
                <w:b/>
                <w:color w:val="FFFFFF" w:themeColor="background1"/>
                <w:vertAlign w:val="superscript"/>
              </w:rPr>
              <w:t>2</w:t>
            </w:r>
            <w:r w:rsidRPr="0054527E">
              <w:rPr>
                <w:b/>
                <w:color w:val="FFFFFF" w:themeColor="background1"/>
              </w:rPr>
              <w:t>)</w:t>
            </w:r>
          </w:p>
        </w:tc>
        <w:tc>
          <w:tcPr>
            <w:tcW w:w="1134" w:type="dxa"/>
            <w:shd w:val="clear" w:color="auto" w:fill="0B3B60"/>
          </w:tcPr>
          <w:p w14:paraId="3FB03D21" w14:textId="77777777" w:rsidR="00CF45D1" w:rsidRPr="0054527E" w:rsidRDefault="00CF45D1" w:rsidP="00CF7F62">
            <w:pPr>
              <w:rPr>
                <w:color w:val="FFFFFF" w:themeColor="background1"/>
              </w:rPr>
            </w:pPr>
            <w:r w:rsidRPr="0054527E">
              <w:rPr>
                <w:color w:val="FFFFFF" w:themeColor="background1"/>
              </w:rPr>
              <w:t>0</w:t>
            </w:r>
          </w:p>
        </w:tc>
        <w:tc>
          <w:tcPr>
            <w:tcW w:w="1134" w:type="dxa"/>
            <w:shd w:val="clear" w:color="auto" w:fill="0B3B60"/>
          </w:tcPr>
          <w:p w14:paraId="6725F473" w14:textId="7AE5FC70" w:rsidR="00CF45D1" w:rsidRPr="0054527E" w:rsidRDefault="00D40A71" w:rsidP="00CF7F62">
            <w:pPr>
              <w:pStyle w:val="Geenafstand"/>
              <w:rPr>
                <w:color w:val="FFFFFF" w:themeColor="background1"/>
              </w:rPr>
            </w:pPr>
            <w:r>
              <w:rPr>
                <w:color w:val="FFFFFF" w:themeColor="background1"/>
              </w:rPr>
              <w:t>+2,33%</w:t>
            </w:r>
          </w:p>
        </w:tc>
        <w:tc>
          <w:tcPr>
            <w:tcW w:w="1275" w:type="dxa"/>
            <w:shd w:val="clear" w:color="auto" w:fill="0B3B60"/>
          </w:tcPr>
          <w:p w14:paraId="361FDB56" w14:textId="77777777" w:rsidR="00CF45D1" w:rsidRPr="0054527E" w:rsidRDefault="00CF45D1" w:rsidP="00CF7F62">
            <w:pPr>
              <w:pStyle w:val="Geenafstand"/>
              <w:rPr>
                <w:color w:val="FFFFFF" w:themeColor="background1"/>
              </w:rPr>
            </w:pPr>
          </w:p>
        </w:tc>
        <w:tc>
          <w:tcPr>
            <w:tcW w:w="1129" w:type="dxa"/>
            <w:shd w:val="clear" w:color="auto" w:fill="0B3B60"/>
          </w:tcPr>
          <w:p w14:paraId="7F2E39DF" w14:textId="77777777" w:rsidR="00CF45D1" w:rsidRPr="0054527E" w:rsidRDefault="00CF45D1" w:rsidP="00CF7F62">
            <w:pPr>
              <w:pStyle w:val="Geenafstand"/>
              <w:rPr>
                <w:color w:val="FFFFFF" w:themeColor="background1"/>
              </w:rPr>
            </w:pPr>
          </w:p>
        </w:tc>
      </w:tr>
      <w:tr w:rsidR="00CF45D1" w:rsidRPr="0054527E" w14:paraId="023C04CD" w14:textId="77777777" w:rsidTr="00CF7F62">
        <w:tc>
          <w:tcPr>
            <w:tcW w:w="4390" w:type="dxa"/>
            <w:shd w:val="clear" w:color="auto" w:fill="0B3B60"/>
          </w:tcPr>
          <w:p w14:paraId="5F2E4701" w14:textId="77777777" w:rsidR="00CF45D1" w:rsidRPr="0054527E" w:rsidRDefault="00CF45D1" w:rsidP="00CF7F62">
            <w:pPr>
              <w:rPr>
                <w:b/>
                <w:color w:val="FFFFFF" w:themeColor="background1"/>
              </w:rPr>
            </w:pPr>
            <w:r w:rsidRPr="0054527E">
              <w:rPr>
                <w:b/>
                <w:color w:val="FFFFFF" w:themeColor="background1"/>
              </w:rPr>
              <w:t>Reductie scope 2 (BM- CO</w:t>
            </w:r>
            <w:r w:rsidRPr="0054527E">
              <w:rPr>
                <w:b/>
                <w:color w:val="FFFFFF" w:themeColor="background1"/>
                <w:vertAlign w:val="superscript"/>
              </w:rPr>
              <w:t>2</w:t>
            </w:r>
            <w:r w:rsidRPr="0054527E">
              <w:rPr>
                <w:b/>
                <w:color w:val="FFFFFF" w:themeColor="background1"/>
              </w:rPr>
              <w:t>)</w:t>
            </w:r>
          </w:p>
        </w:tc>
        <w:tc>
          <w:tcPr>
            <w:tcW w:w="1134" w:type="dxa"/>
            <w:shd w:val="clear" w:color="auto" w:fill="0B3B60"/>
          </w:tcPr>
          <w:p w14:paraId="0D66DE9D" w14:textId="77777777" w:rsidR="00CF45D1" w:rsidRPr="0054527E" w:rsidRDefault="00CF45D1" w:rsidP="00CF7F62">
            <w:pPr>
              <w:rPr>
                <w:color w:val="FFFFFF" w:themeColor="background1"/>
              </w:rPr>
            </w:pPr>
            <w:r w:rsidRPr="0054527E">
              <w:rPr>
                <w:color w:val="FFFFFF" w:themeColor="background1"/>
              </w:rPr>
              <w:t>0</w:t>
            </w:r>
          </w:p>
        </w:tc>
        <w:tc>
          <w:tcPr>
            <w:tcW w:w="1134" w:type="dxa"/>
            <w:shd w:val="clear" w:color="auto" w:fill="0B3B60"/>
          </w:tcPr>
          <w:p w14:paraId="3E76DA11" w14:textId="10BEF599" w:rsidR="00CF45D1" w:rsidRPr="0054527E" w:rsidRDefault="00D40A71" w:rsidP="00CF7F62">
            <w:pPr>
              <w:pStyle w:val="Geenafstand"/>
              <w:rPr>
                <w:color w:val="FFFFFF" w:themeColor="background1"/>
              </w:rPr>
            </w:pPr>
            <w:r>
              <w:rPr>
                <w:color w:val="FFFFFF" w:themeColor="background1"/>
              </w:rPr>
              <w:t>-100%</w:t>
            </w:r>
          </w:p>
        </w:tc>
        <w:tc>
          <w:tcPr>
            <w:tcW w:w="1275" w:type="dxa"/>
            <w:shd w:val="clear" w:color="auto" w:fill="0B3B60"/>
          </w:tcPr>
          <w:p w14:paraId="70989E62" w14:textId="77777777" w:rsidR="00CF45D1" w:rsidRPr="0054527E" w:rsidRDefault="00CF45D1" w:rsidP="00CF7F62">
            <w:pPr>
              <w:pStyle w:val="Geenafstand"/>
              <w:rPr>
                <w:color w:val="FFFFFF" w:themeColor="background1"/>
              </w:rPr>
            </w:pPr>
          </w:p>
        </w:tc>
        <w:tc>
          <w:tcPr>
            <w:tcW w:w="1129" w:type="dxa"/>
            <w:shd w:val="clear" w:color="auto" w:fill="0B3B60"/>
          </w:tcPr>
          <w:p w14:paraId="2A00F822" w14:textId="77777777" w:rsidR="00CF45D1" w:rsidRPr="0054527E" w:rsidRDefault="00CF45D1" w:rsidP="00CF7F62">
            <w:pPr>
              <w:pStyle w:val="Geenafstand"/>
              <w:rPr>
                <w:color w:val="FFFFFF" w:themeColor="background1"/>
              </w:rPr>
            </w:pPr>
          </w:p>
        </w:tc>
      </w:tr>
      <w:tr w:rsidR="00CF45D1" w:rsidRPr="0054527E" w14:paraId="4861640D" w14:textId="77777777" w:rsidTr="00CF7F62">
        <w:tc>
          <w:tcPr>
            <w:tcW w:w="4390" w:type="dxa"/>
            <w:shd w:val="clear" w:color="auto" w:fill="0B3B60"/>
          </w:tcPr>
          <w:p w14:paraId="5390D4C9" w14:textId="77777777" w:rsidR="00CF45D1" w:rsidRPr="0054527E" w:rsidRDefault="00CF45D1" w:rsidP="00CF7F62">
            <w:pPr>
              <w:rPr>
                <w:b/>
                <w:color w:val="FFFFFF" w:themeColor="background1"/>
              </w:rPr>
            </w:pPr>
            <w:r>
              <w:rPr>
                <w:b/>
                <w:color w:val="FFFFFF" w:themeColor="background1"/>
              </w:rPr>
              <w:t>Reductie scope 3</w:t>
            </w:r>
            <w:r w:rsidRPr="0054527E">
              <w:rPr>
                <w:b/>
                <w:color w:val="FFFFFF" w:themeColor="background1"/>
              </w:rPr>
              <w:t xml:space="preserve"> (BM- CO</w:t>
            </w:r>
            <w:r w:rsidRPr="0054527E">
              <w:rPr>
                <w:b/>
                <w:color w:val="FFFFFF" w:themeColor="background1"/>
                <w:vertAlign w:val="superscript"/>
              </w:rPr>
              <w:t>2</w:t>
            </w:r>
            <w:r w:rsidRPr="0054527E">
              <w:rPr>
                <w:b/>
                <w:color w:val="FFFFFF" w:themeColor="background1"/>
              </w:rPr>
              <w:t>)</w:t>
            </w:r>
          </w:p>
        </w:tc>
        <w:tc>
          <w:tcPr>
            <w:tcW w:w="1134" w:type="dxa"/>
            <w:shd w:val="clear" w:color="auto" w:fill="0B3B60"/>
          </w:tcPr>
          <w:p w14:paraId="763FF238" w14:textId="77777777" w:rsidR="00CF45D1" w:rsidRPr="0054527E" w:rsidRDefault="00CF45D1" w:rsidP="00CF7F62">
            <w:pPr>
              <w:rPr>
                <w:color w:val="FFFFFF" w:themeColor="background1"/>
              </w:rPr>
            </w:pPr>
            <w:r w:rsidRPr="0054527E">
              <w:rPr>
                <w:color w:val="FFFFFF" w:themeColor="background1"/>
              </w:rPr>
              <w:t>0</w:t>
            </w:r>
          </w:p>
        </w:tc>
        <w:tc>
          <w:tcPr>
            <w:tcW w:w="1134" w:type="dxa"/>
            <w:shd w:val="clear" w:color="auto" w:fill="0B3B60"/>
          </w:tcPr>
          <w:p w14:paraId="0E3C3EF7" w14:textId="29D09E3A" w:rsidR="00CF45D1" w:rsidRPr="0054527E" w:rsidRDefault="00D40A71" w:rsidP="00CF7F62">
            <w:pPr>
              <w:pStyle w:val="Geenafstand"/>
              <w:rPr>
                <w:color w:val="FFFFFF" w:themeColor="background1"/>
              </w:rPr>
            </w:pPr>
            <w:r>
              <w:rPr>
                <w:color w:val="FFFFFF" w:themeColor="background1"/>
              </w:rPr>
              <w:t>NVT</w:t>
            </w:r>
          </w:p>
        </w:tc>
        <w:tc>
          <w:tcPr>
            <w:tcW w:w="1275" w:type="dxa"/>
            <w:shd w:val="clear" w:color="auto" w:fill="0B3B60"/>
          </w:tcPr>
          <w:p w14:paraId="38483D82" w14:textId="77777777" w:rsidR="00CF45D1" w:rsidRPr="0054527E" w:rsidRDefault="00CF45D1" w:rsidP="00CF7F62">
            <w:pPr>
              <w:pStyle w:val="Geenafstand"/>
              <w:rPr>
                <w:color w:val="FFFFFF" w:themeColor="background1"/>
              </w:rPr>
            </w:pPr>
          </w:p>
        </w:tc>
        <w:tc>
          <w:tcPr>
            <w:tcW w:w="1129" w:type="dxa"/>
            <w:shd w:val="clear" w:color="auto" w:fill="0B3B60"/>
          </w:tcPr>
          <w:p w14:paraId="466C6B69" w14:textId="77777777" w:rsidR="00CF45D1" w:rsidRPr="0054527E" w:rsidRDefault="00CF45D1" w:rsidP="00CF7F62">
            <w:pPr>
              <w:pStyle w:val="Geenafstand"/>
              <w:rPr>
                <w:color w:val="FFFFFF" w:themeColor="background1"/>
              </w:rPr>
            </w:pPr>
          </w:p>
        </w:tc>
      </w:tr>
      <w:tr w:rsidR="00CF45D1" w:rsidRPr="0054527E" w14:paraId="378B65BB" w14:textId="77777777" w:rsidTr="00CF7F62">
        <w:tc>
          <w:tcPr>
            <w:tcW w:w="4390" w:type="dxa"/>
            <w:shd w:val="clear" w:color="auto" w:fill="0B3B60"/>
          </w:tcPr>
          <w:p w14:paraId="5B481672" w14:textId="77777777" w:rsidR="00CF45D1" w:rsidRPr="0054527E" w:rsidRDefault="00CF45D1" w:rsidP="00CF7F62">
            <w:pPr>
              <w:rPr>
                <w:b/>
                <w:color w:val="FFFFFF" w:themeColor="background1"/>
              </w:rPr>
            </w:pPr>
            <w:r w:rsidRPr="0054527E">
              <w:rPr>
                <w:b/>
                <w:color w:val="FFFFFF" w:themeColor="background1"/>
              </w:rPr>
              <w:t>Reductie scope 1 (Omzet-CO</w:t>
            </w:r>
            <w:r w:rsidRPr="0054527E">
              <w:rPr>
                <w:b/>
                <w:color w:val="FFFFFF" w:themeColor="background1"/>
                <w:vertAlign w:val="superscript"/>
              </w:rPr>
              <w:t>2</w:t>
            </w:r>
            <w:r w:rsidRPr="0054527E">
              <w:rPr>
                <w:b/>
                <w:color w:val="FFFFFF" w:themeColor="background1"/>
              </w:rPr>
              <w:t>)</w:t>
            </w:r>
          </w:p>
        </w:tc>
        <w:tc>
          <w:tcPr>
            <w:tcW w:w="1134" w:type="dxa"/>
            <w:shd w:val="clear" w:color="auto" w:fill="0B3B60"/>
          </w:tcPr>
          <w:p w14:paraId="7791F771" w14:textId="77777777" w:rsidR="00CF45D1" w:rsidRPr="0054527E" w:rsidRDefault="00CF45D1" w:rsidP="00CF7F62">
            <w:pPr>
              <w:rPr>
                <w:color w:val="FFFFFF" w:themeColor="background1"/>
              </w:rPr>
            </w:pPr>
            <w:r w:rsidRPr="0054527E">
              <w:rPr>
                <w:color w:val="FFFFFF" w:themeColor="background1"/>
              </w:rPr>
              <w:t>0</w:t>
            </w:r>
          </w:p>
        </w:tc>
        <w:tc>
          <w:tcPr>
            <w:tcW w:w="1134" w:type="dxa"/>
            <w:shd w:val="clear" w:color="auto" w:fill="0B3B60"/>
          </w:tcPr>
          <w:p w14:paraId="35CE96B3" w14:textId="77777777" w:rsidR="00CF45D1" w:rsidRPr="0054527E" w:rsidRDefault="00CF45D1" w:rsidP="00CF7F62">
            <w:pPr>
              <w:pStyle w:val="Geenafstand"/>
              <w:rPr>
                <w:color w:val="FFFFFF" w:themeColor="background1"/>
              </w:rPr>
            </w:pPr>
          </w:p>
        </w:tc>
        <w:tc>
          <w:tcPr>
            <w:tcW w:w="1275" w:type="dxa"/>
            <w:shd w:val="clear" w:color="auto" w:fill="0B3B60"/>
          </w:tcPr>
          <w:p w14:paraId="51781330" w14:textId="77777777" w:rsidR="00CF45D1" w:rsidRPr="0054527E" w:rsidRDefault="00CF45D1" w:rsidP="00CF7F62">
            <w:pPr>
              <w:pStyle w:val="Geenafstand"/>
              <w:rPr>
                <w:color w:val="FFFFFF" w:themeColor="background1"/>
              </w:rPr>
            </w:pPr>
          </w:p>
        </w:tc>
        <w:tc>
          <w:tcPr>
            <w:tcW w:w="1129" w:type="dxa"/>
            <w:shd w:val="clear" w:color="auto" w:fill="0B3B60"/>
          </w:tcPr>
          <w:p w14:paraId="06850131" w14:textId="77777777" w:rsidR="00CF45D1" w:rsidRPr="0054527E" w:rsidRDefault="00CF45D1" w:rsidP="00CF7F62">
            <w:pPr>
              <w:pStyle w:val="Geenafstand"/>
              <w:rPr>
                <w:color w:val="FFFFFF" w:themeColor="background1"/>
              </w:rPr>
            </w:pPr>
          </w:p>
        </w:tc>
      </w:tr>
      <w:tr w:rsidR="00CF45D1" w:rsidRPr="0054527E" w14:paraId="4897B222" w14:textId="77777777" w:rsidTr="00CF7F62">
        <w:tc>
          <w:tcPr>
            <w:tcW w:w="4390" w:type="dxa"/>
            <w:shd w:val="clear" w:color="auto" w:fill="0B3B60"/>
          </w:tcPr>
          <w:p w14:paraId="79CA81DC" w14:textId="77777777" w:rsidR="00CF45D1" w:rsidRPr="0054527E" w:rsidRDefault="00CF45D1" w:rsidP="00CF7F62">
            <w:pPr>
              <w:pStyle w:val="Geenafstand"/>
              <w:rPr>
                <w:b/>
                <w:color w:val="FFFFFF" w:themeColor="background1"/>
              </w:rPr>
            </w:pPr>
            <w:r w:rsidRPr="0054527E">
              <w:rPr>
                <w:rFonts w:eastAsia="SimSun"/>
                <w:b/>
                <w:color w:val="FFFFFF" w:themeColor="background1"/>
              </w:rPr>
              <w:t>Reductie scope 2 (Omzet-CO</w:t>
            </w:r>
            <w:r w:rsidRPr="0054527E">
              <w:rPr>
                <w:rFonts w:eastAsia="SimSun"/>
                <w:b/>
                <w:color w:val="FFFFFF" w:themeColor="background1"/>
                <w:vertAlign w:val="superscript"/>
              </w:rPr>
              <w:t>2</w:t>
            </w:r>
            <w:r w:rsidRPr="0054527E">
              <w:rPr>
                <w:rFonts w:eastAsia="SimSun"/>
                <w:b/>
                <w:color w:val="FFFFFF" w:themeColor="background1"/>
              </w:rPr>
              <w:t>)</w:t>
            </w:r>
          </w:p>
        </w:tc>
        <w:tc>
          <w:tcPr>
            <w:tcW w:w="1134" w:type="dxa"/>
            <w:shd w:val="clear" w:color="auto" w:fill="0B3B60"/>
          </w:tcPr>
          <w:p w14:paraId="68E4C756" w14:textId="77777777" w:rsidR="00CF45D1" w:rsidRPr="0054527E" w:rsidRDefault="00CF45D1" w:rsidP="00CF7F62">
            <w:pPr>
              <w:rPr>
                <w:color w:val="FFFFFF" w:themeColor="background1"/>
              </w:rPr>
            </w:pPr>
            <w:r w:rsidRPr="0054527E">
              <w:rPr>
                <w:color w:val="FFFFFF" w:themeColor="background1"/>
              </w:rPr>
              <w:t>0</w:t>
            </w:r>
          </w:p>
        </w:tc>
        <w:tc>
          <w:tcPr>
            <w:tcW w:w="1134" w:type="dxa"/>
            <w:shd w:val="clear" w:color="auto" w:fill="0B3B60"/>
          </w:tcPr>
          <w:p w14:paraId="2BC0162B" w14:textId="77777777" w:rsidR="00CF45D1" w:rsidRPr="0054527E" w:rsidRDefault="00CF45D1" w:rsidP="00CF7F62">
            <w:pPr>
              <w:pStyle w:val="Geenafstand"/>
              <w:rPr>
                <w:color w:val="FFFFFF" w:themeColor="background1"/>
              </w:rPr>
            </w:pPr>
          </w:p>
        </w:tc>
        <w:tc>
          <w:tcPr>
            <w:tcW w:w="1275" w:type="dxa"/>
            <w:shd w:val="clear" w:color="auto" w:fill="0B3B60"/>
          </w:tcPr>
          <w:p w14:paraId="031F46FE" w14:textId="77777777" w:rsidR="00CF45D1" w:rsidRPr="0054527E" w:rsidRDefault="00CF45D1" w:rsidP="00CF7F62">
            <w:pPr>
              <w:pStyle w:val="Geenafstand"/>
              <w:rPr>
                <w:color w:val="FFFFFF" w:themeColor="background1"/>
              </w:rPr>
            </w:pPr>
          </w:p>
        </w:tc>
        <w:tc>
          <w:tcPr>
            <w:tcW w:w="1129" w:type="dxa"/>
            <w:shd w:val="clear" w:color="auto" w:fill="0B3B60"/>
          </w:tcPr>
          <w:p w14:paraId="61F329CE" w14:textId="77777777" w:rsidR="00CF45D1" w:rsidRPr="0054527E" w:rsidRDefault="00CF45D1" w:rsidP="00CF7F62">
            <w:pPr>
              <w:pStyle w:val="Geenafstand"/>
              <w:rPr>
                <w:color w:val="FFFFFF" w:themeColor="background1"/>
              </w:rPr>
            </w:pPr>
          </w:p>
        </w:tc>
      </w:tr>
      <w:tr w:rsidR="00CF45D1" w:rsidRPr="0054527E" w14:paraId="50AE74C9" w14:textId="77777777" w:rsidTr="00CF7F62">
        <w:tc>
          <w:tcPr>
            <w:tcW w:w="4390" w:type="dxa"/>
            <w:shd w:val="clear" w:color="auto" w:fill="0B3B60"/>
          </w:tcPr>
          <w:p w14:paraId="7E999B37" w14:textId="77777777" w:rsidR="00CF45D1" w:rsidRPr="0054527E" w:rsidRDefault="00CF45D1" w:rsidP="00CF7F62">
            <w:pPr>
              <w:pStyle w:val="Geenafstand"/>
              <w:rPr>
                <w:rFonts w:eastAsia="SimSun"/>
                <w:b/>
                <w:color w:val="FFFFFF" w:themeColor="background1"/>
              </w:rPr>
            </w:pPr>
            <w:r>
              <w:rPr>
                <w:rFonts w:eastAsia="SimSun"/>
                <w:b/>
                <w:color w:val="FFFFFF" w:themeColor="background1"/>
              </w:rPr>
              <w:t>Reductie scope 3</w:t>
            </w:r>
            <w:r w:rsidRPr="0054527E">
              <w:rPr>
                <w:rFonts w:eastAsia="SimSun"/>
                <w:b/>
                <w:color w:val="FFFFFF" w:themeColor="background1"/>
              </w:rPr>
              <w:t xml:space="preserve"> (Omzet-CO</w:t>
            </w:r>
            <w:r w:rsidRPr="0054527E">
              <w:rPr>
                <w:rFonts w:eastAsia="SimSun"/>
                <w:b/>
                <w:color w:val="FFFFFF" w:themeColor="background1"/>
                <w:vertAlign w:val="superscript"/>
              </w:rPr>
              <w:t>2</w:t>
            </w:r>
            <w:r w:rsidRPr="0054527E">
              <w:rPr>
                <w:rFonts w:eastAsia="SimSun"/>
                <w:b/>
                <w:color w:val="FFFFFF" w:themeColor="background1"/>
              </w:rPr>
              <w:t>)</w:t>
            </w:r>
          </w:p>
        </w:tc>
        <w:tc>
          <w:tcPr>
            <w:tcW w:w="1134" w:type="dxa"/>
            <w:shd w:val="clear" w:color="auto" w:fill="0B3B60"/>
          </w:tcPr>
          <w:p w14:paraId="65E47727" w14:textId="77777777" w:rsidR="00CF45D1" w:rsidRPr="0054527E" w:rsidRDefault="00CF45D1" w:rsidP="00CF7F62">
            <w:pPr>
              <w:rPr>
                <w:color w:val="FFFFFF" w:themeColor="background1"/>
              </w:rPr>
            </w:pPr>
            <w:r>
              <w:rPr>
                <w:color w:val="FFFFFF" w:themeColor="background1"/>
              </w:rPr>
              <w:t>0</w:t>
            </w:r>
          </w:p>
        </w:tc>
        <w:tc>
          <w:tcPr>
            <w:tcW w:w="1134" w:type="dxa"/>
            <w:shd w:val="clear" w:color="auto" w:fill="0B3B60"/>
          </w:tcPr>
          <w:p w14:paraId="08BBFBD9" w14:textId="19304A41" w:rsidR="00CF45D1" w:rsidRPr="0054527E" w:rsidRDefault="00D40A71" w:rsidP="00CF7F62">
            <w:pPr>
              <w:pStyle w:val="Geenafstand"/>
              <w:rPr>
                <w:color w:val="FFFFFF" w:themeColor="background1"/>
              </w:rPr>
            </w:pPr>
            <w:r>
              <w:rPr>
                <w:color w:val="FFFFFF" w:themeColor="background1"/>
              </w:rPr>
              <w:t>NVT</w:t>
            </w:r>
          </w:p>
        </w:tc>
        <w:tc>
          <w:tcPr>
            <w:tcW w:w="1275" w:type="dxa"/>
            <w:shd w:val="clear" w:color="auto" w:fill="0B3B60"/>
          </w:tcPr>
          <w:p w14:paraId="2EB95DCB" w14:textId="77777777" w:rsidR="00CF45D1" w:rsidRPr="0054527E" w:rsidRDefault="00CF45D1" w:rsidP="00CF7F62">
            <w:pPr>
              <w:pStyle w:val="Geenafstand"/>
              <w:rPr>
                <w:color w:val="FFFFFF" w:themeColor="background1"/>
              </w:rPr>
            </w:pPr>
          </w:p>
        </w:tc>
        <w:tc>
          <w:tcPr>
            <w:tcW w:w="1129" w:type="dxa"/>
            <w:shd w:val="clear" w:color="auto" w:fill="0B3B60"/>
          </w:tcPr>
          <w:p w14:paraId="185003CC" w14:textId="77777777" w:rsidR="00CF45D1" w:rsidRPr="0054527E" w:rsidRDefault="00CF45D1" w:rsidP="00CF7F62">
            <w:pPr>
              <w:pStyle w:val="Geenafstand"/>
              <w:rPr>
                <w:color w:val="FFFFFF" w:themeColor="background1"/>
              </w:rPr>
            </w:pPr>
          </w:p>
        </w:tc>
      </w:tr>
    </w:tbl>
    <w:p w14:paraId="4FC32E64" w14:textId="77777777" w:rsidR="00AA6E37" w:rsidRPr="00AA6E37" w:rsidRDefault="00AA6E37" w:rsidP="005D3A0C">
      <w:pPr>
        <w:pStyle w:val="Kop1"/>
        <w:numPr>
          <w:ilvl w:val="0"/>
          <w:numId w:val="1"/>
        </w:numPr>
      </w:pPr>
      <w:r w:rsidRPr="00AA6E37">
        <w:t>Kwantificeringsmethoden</w:t>
      </w:r>
      <w:bookmarkEnd w:id="6"/>
    </w:p>
    <w:p w14:paraId="0DD79756" w14:textId="77777777" w:rsidR="00AA6E37" w:rsidRDefault="00AA6E37" w:rsidP="00AA6E37">
      <w:pPr>
        <w:pStyle w:val="Geenafstand"/>
      </w:pPr>
      <w:r>
        <w:t>Voor het kwantificeren van de CO2 uitstoot is gebruik gemaakt van een voor</w:t>
      </w:r>
      <w:r w:rsidR="00997C99">
        <w:t xml:space="preserve"> VOF Kennes</w:t>
      </w:r>
      <w:r>
        <w:t xml:space="preserve"> op maat gemaakt model. In het model kunnen alle verbruiken worden ingevuld. Vervolgens wordt de daarbij behorende CO2 uitstoot automatisch berekend en vergeleken met het basisjaar. Hierbij zijn de emissiefactoren uit de CO2 prestatieladder gehanteerd.  </w:t>
      </w:r>
    </w:p>
    <w:p w14:paraId="22D56C07" w14:textId="77777777" w:rsidR="00AA6E37" w:rsidRPr="00846DCD" w:rsidRDefault="00AA6E37" w:rsidP="005D3A0C">
      <w:pPr>
        <w:pStyle w:val="Kop1"/>
        <w:numPr>
          <w:ilvl w:val="0"/>
          <w:numId w:val="1"/>
        </w:numPr>
      </w:pPr>
      <w:bookmarkStart w:id="7" w:name="_Toc46135125"/>
      <w:r w:rsidRPr="00846DCD">
        <w:t>Emissiefactoren</w:t>
      </w:r>
      <w:bookmarkEnd w:id="7"/>
    </w:p>
    <w:p w14:paraId="709DFB57" w14:textId="416E4163" w:rsidR="00846DCD" w:rsidRDefault="00AA6E37" w:rsidP="00AA6E37">
      <w:pPr>
        <w:pStyle w:val="Geenafstand"/>
      </w:pPr>
      <w:r>
        <w:t xml:space="preserve">Voor de inventarisatie van de CO2 uitstoot van </w:t>
      </w:r>
      <w:r w:rsidR="00997C99">
        <w:t>VOF Kennes</w:t>
      </w:r>
      <w:r>
        <w:t xml:space="preserve"> over het jaar </w:t>
      </w:r>
      <w:r w:rsidR="00997C99">
        <w:t>20</w:t>
      </w:r>
      <w:r w:rsidR="00A366C5">
        <w:t>20</w:t>
      </w:r>
      <w:r>
        <w:t xml:space="preserve"> zijn de emissiefactoren zoals weergegeven op </w:t>
      </w:r>
      <w:hyperlink r:id="rId9" w:history="1">
        <w:r w:rsidR="00846DCD" w:rsidRPr="00E020E5">
          <w:rPr>
            <w:rStyle w:val="Hyperlink"/>
          </w:rPr>
          <w:t>www.co2emissiefactoren.nl</w:t>
        </w:r>
      </w:hyperlink>
      <w:r w:rsidR="00846DCD">
        <w:t xml:space="preserve"> </w:t>
      </w:r>
      <w:r>
        <w:t xml:space="preserve">gehanteerd. </w:t>
      </w:r>
      <w:r w:rsidR="00A366C5">
        <w:t xml:space="preserve">Deze emissie factoren hebben we ook over het jaar 2019 aangepast, om zo een goed en eerlijk vergelijk te krijgen. </w:t>
      </w:r>
      <w:r>
        <w:t xml:space="preserve">Omdat het gaat om specifieke emissiefactoren op nationaal niveau, zijn de gehanteerde emissiefactoren zeer geschikt voor het omrekenen van de broeikasgas activiteiten data naar de daarmee gepaard gaande CO2 emissie. Alle gebruikte emissiefactoren zijn opgenomen in de berekening van de CO2 footprint. De emissiefactoren van </w:t>
      </w:r>
      <w:r w:rsidR="00997C99">
        <w:t xml:space="preserve">VOF Kennes </w:t>
      </w:r>
      <w:r>
        <w:t xml:space="preserve">zullen te allen tijde mee gaan met wijzigingen in de emissiefactoren zoals weergegeven op </w:t>
      </w:r>
      <w:hyperlink r:id="rId10" w:history="1">
        <w:r w:rsidR="00846DCD" w:rsidRPr="00E020E5">
          <w:rPr>
            <w:rStyle w:val="Hyperlink"/>
          </w:rPr>
          <w:t>www.co2emissiefactoren.nl</w:t>
        </w:r>
      </w:hyperlink>
      <w:r w:rsidR="00846DCD">
        <w:t xml:space="preserve">. </w:t>
      </w:r>
      <w:r>
        <w:t>Er zijn geen “Removal factors” van toepassing.</w:t>
      </w:r>
    </w:p>
    <w:p w14:paraId="77C03EA6" w14:textId="77777777" w:rsidR="00AA6E37" w:rsidRPr="00846DCD" w:rsidRDefault="00AA6E37" w:rsidP="005D3A0C">
      <w:pPr>
        <w:pStyle w:val="Kop1"/>
        <w:numPr>
          <w:ilvl w:val="0"/>
          <w:numId w:val="1"/>
        </w:numPr>
      </w:pPr>
      <w:bookmarkStart w:id="8" w:name="_Toc46135126"/>
      <w:r w:rsidRPr="00846DCD">
        <w:t>Onzekerheden</w:t>
      </w:r>
      <w:bookmarkEnd w:id="8"/>
    </w:p>
    <w:p w14:paraId="253064DC" w14:textId="77777777" w:rsidR="00AA6E37" w:rsidRDefault="00AA6E37" w:rsidP="00AA6E37">
      <w:pPr>
        <w:pStyle w:val="Geenafstand"/>
      </w:pPr>
      <w:r>
        <w:t xml:space="preserve">De gepresenteerde resultaten moeten worden gezien als de beste inschatting van de werkelijke waardes. Bijna alle gebruikte gegevens voor de berekening van de CO2 footprint zijn gebaseerd op </w:t>
      </w:r>
      <w:r>
        <w:lastRenderedPageBreak/>
        <w:t>facturen en/of werkelijk gemeten aantallen. Hierdoor is de onzekerheidsmarge zeer gering. Er zijn geen onzekerheden.</w:t>
      </w:r>
    </w:p>
    <w:p w14:paraId="4C9A1DD1" w14:textId="77777777" w:rsidR="00846DCD" w:rsidRPr="00846DCD" w:rsidRDefault="00846DCD" w:rsidP="005D3A0C">
      <w:pPr>
        <w:pStyle w:val="Kop1"/>
        <w:numPr>
          <w:ilvl w:val="0"/>
          <w:numId w:val="1"/>
        </w:numPr>
      </w:pPr>
      <w:bookmarkStart w:id="9" w:name="_Toc46135127"/>
      <w:r w:rsidRPr="00846DCD">
        <w:t xml:space="preserve">Rapportage volgens ISO 14064 deel </w:t>
      </w:r>
      <w:bookmarkEnd w:id="9"/>
      <w:r w:rsidR="00AE6EBE">
        <w:t>9</w:t>
      </w:r>
    </w:p>
    <w:p w14:paraId="4F76C938" w14:textId="77777777" w:rsidR="00846DCD" w:rsidRDefault="00846DCD" w:rsidP="00846DCD">
      <w:pPr>
        <w:pStyle w:val="Geenafstand"/>
      </w:pPr>
      <w:r>
        <w:t>Dit rapport is opgesteld volgens de e</w:t>
      </w:r>
      <w:r w:rsidR="00AE6EBE">
        <w:t>isen uit ISO 14064-1 paragraaf 9</w:t>
      </w:r>
      <w:r w:rsidR="00334D6D">
        <w:t xml:space="preserve">.3.1 </w:t>
      </w:r>
      <w:r>
        <w:t>In onderstaande tabel is een cross reference gemaakt van de onderdelen uit ISO 14064 en de hoofdstukken in het rapport.</w:t>
      </w:r>
    </w:p>
    <w:p w14:paraId="1B125192" w14:textId="77777777" w:rsidR="00846DCD" w:rsidRDefault="00846DCD" w:rsidP="00846DCD">
      <w:pPr>
        <w:pStyle w:val="Geenafstand"/>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6306"/>
        <w:gridCol w:w="1842"/>
      </w:tblGrid>
      <w:tr w:rsidR="00334D6D" w:rsidRPr="00846DCD" w14:paraId="2EFE6A73" w14:textId="77777777" w:rsidTr="00334D6D">
        <w:tc>
          <w:tcPr>
            <w:tcW w:w="7225" w:type="dxa"/>
            <w:gridSpan w:val="2"/>
            <w:shd w:val="clear" w:color="auto" w:fill="0B3B60"/>
          </w:tcPr>
          <w:p w14:paraId="28D01AEB" w14:textId="77777777" w:rsidR="00334D6D" w:rsidRPr="00846DCD" w:rsidRDefault="00334D6D" w:rsidP="00846DCD">
            <w:pPr>
              <w:pStyle w:val="Geenafstand"/>
              <w:rPr>
                <w:b/>
                <w:color w:val="FFFFFF" w:themeColor="background1"/>
              </w:rPr>
            </w:pPr>
            <w:r>
              <w:rPr>
                <w:b/>
                <w:color w:val="FFFFFF" w:themeColor="background1"/>
              </w:rPr>
              <w:t>Eisen § 9</w:t>
            </w:r>
            <w:r w:rsidRPr="00846DCD">
              <w:rPr>
                <w:b/>
                <w:color w:val="FFFFFF" w:themeColor="background1"/>
              </w:rPr>
              <w:t>.3 GHG report content</w:t>
            </w:r>
          </w:p>
        </w:tc>
        <w:tc>
          <w:tcPr>
            <w:tcW w:w="1842" w:type="dxa"/>
            <w:shd w:val="clear" w:color="auto" w:fill="0B3B60"/>
          </w:tcPr>
          <w:p w14:paraId="52A56AC8" w14:textId="77777777" w:rsidR="00334D6D" w:rsidRPr="00846DCD" w:rsidRDefault="00334D6D" w:rsidP="00846DCD">
            <w:pPr>
              <w:pStyle w:val="Geenafstand"/>
              <w:rPr>
                <w:b/>
                <w:color w:val="FFFFFF" w:themeColor="background1"/>
              </w:rPr>
            </w:pPr>
            <w:r>
              <w:rPr>
                <w:b/>
                <w:color w:val="FFFFFF" w:themeColor="background1"/>
              </w:rPr>
              <w:t xml:space="preserve">Deze rapportage </w:t>
            </w:r>
          </w:p>
        </w:tc>
      </w:tr>
      <w:tr w:rsidR="00334D6D" w:rsidRPr="00B55DDC" w14:paraId="1F72A23E" w14:textId="77777777" w:rsidTr="00334D6D">
        <w:tc>
          <w:tcPr>
            <w:tcW w:w="919" w:type="dxa"/>
          </w:tcPr>
          <w:p w14:paraId="714697EA" w14:textId="77777777" w:rsidR="00334D6D" w:rsidRPr="00B55DDC" w:rsidRDefault="00334D6D" w:rsidP="00846DCD">
            <w:pPr>
              <w:pStyle w:val="Geenafstand"/>
            </w:pPr>
            <w:r>
              <w:t>a</w:t>
            </w:r>
          </w:p>
        </w:tc>
        <w:tc>
          <w:tcPr>
            <w:tcW w:w="6306" w:type="dxa"/>
          </w:tcPr>
          <w:p w14:paraId="3C3ED98E" w14:textId="77777777" w:rsidR="00334D6D" w:rsidRPr="00A27A7C" w:rsidRDefault="00334D6D" w:rsidP="00846DCD">
            <w:pPr>
              <w:pStyle w:val="Geenafstand"/>
              <w:rPr>
                <w:lang w:val="en-US"/>
              </w:rPr>
            </w:pPr>
            <w:r w:rsidRPr="00A27A7C">
              <w:rPr>
                <w:lang w:val="en-US"/>
              </w:rPr>
              <w:t>Description of the reporting organization</w:t>
            </w:r>
          </w:p>
        </w:tc>
        <w:tc>
          <w:tcPr>
            <w:tcW w:w="1842" w:type="dxa"/>
          </w:tcPr>
          <w:p w14:paraId="522CE5A4" w14:textId="77777777" w:rsidR="00334D6D" w:rsidRPr="00B55DDC" w:rsidRDefault="00334D6D" w:rsidP="00846DCD">
            <w:pPr>
              <w:pStyle w:val="Geenafstand"/>
            </w:pPr>
            <w:r w:rsidRPr="00B55DDC">
              <w:t>2</w:t>
            </w:r>
          </w:p>
        </w:tc>
      </w:tr>
      <w:tr w:rsidR="00334D6D" w:rsidRPr="00B55DDC" w14:paraId="478F98DF" w14:textId="77777777" w:rsidTr="00334D6D">
        <w:tc>
          <w:tcPr>
            <w:tcW w:w="919" w:type="dxa"/>
          </w:tcPr>
          <w:p w14:paraId="0BC6D9F3" w14:textId="77777777" w:rsidR="00334D6D" w:rsidRPr="00B55DDC" w:rsidRDefault="005D3A0C" w:rsidP="00846DCD">
            <w:pPr>
              <w:pStyle w:val="Geenafstand"/>
            </w:pPr>
            <w:r>
              <w:t>b</w:t>
            </w:r>
          </w:p>
        </w:tc>
        <w:tc>
          <w:tcPr>
            <w:tcW w:w="6306" w:type="dxa"/>
          </w:tcPr>
          <w:p w14:paraId="66A4064F" w14:textId="77777777" w:rsidR="00334D6D" w:rsidRPr="00A27A7C" w:rsidRDefault="00334D6D" w:rsidP="00846DCD">
            <w:pPr>
              <w:pStyle w:val="Geenafstand"/>
              <w:rPr>
                <w:lang w:val="en-US"/>
              </w:rPr>
            </w:pPr>
            <w:r w:rsidRPr="00A27A7C">
              <w:rPr>
                <w:lang w:val="en-US"/>
              </w:rPr>
              <w:t>Person or entity responsible for the report</w:t>
            </w:r>
          </w:p>
        </w:tc>
        <w:tc>
          <w:tcPr>
            <w:tcW w:w="1842" w:type="dxa"/>
          </w:tcPr>
          <w:p w14:paraId="3D92E608" w14:textId="77777777" w:rsidR="00334D6D" w:rsidRPr="00B55DDC" w:rsidRDefault="00334D6D" w:rsidP="00846DCD">
            <w:pPr>
              <w:pStyle w:val="Geenafstand"/>
            </w:pPr>
            <w:r w:rsidRPr="00B55DDC">
              <w:t>3</w:t>
            </w:r>
          </w:p>
        </w:tc>
      </w:tr>
      <w:tr w:rsidR="00334D6D" w:rsidRPr="00B55DDC" w14:paraId="4D7F757B" w14:textId="77777777" w:rsidTr="00334D6D">
        <w:tc>
          <w:tcPr>
            <w:tcW w:w="919" w:type="dxa"/>
          </w:tcPr>
          <w:p w14:paraId="6AE8864A" w14:textId="77777777" w:rsidR="00334D6D" w:rsidRPr="00B55DDC" w:rsidRDefault="005D3A0C" w:rsidP="00846DCD">
            <w:pPr>
              <w:pStyle w:val="Geenafstand"/>
            </w:pPr>
            <w:r w:rsidRPr="00B55DDC">
              <w:t>c</w:t>
            </w:r>
          </w:p>
        </w:tc>
        <w:tc>
          <w:tcPr>
            <w:tcW w:w="6306" w:type="dxa"/>
          </w:tcPr>
          <w:p w14:paraId="7574B892" w14:textId="77777777" w:rsidR="00334D6D" w:rsidRPr="00B55DDC" w:rsidRDefault="00334D6D" w:rsidP="00846DCD">
            <w:pPr>
              <w:pStyle w:val="Geenafstand"/>
            </w:pPr>
            <w:r>
              <w:t>Reporting period covered</w:t>
            </w:r>
          </w:p>
        </w:tc>
        <w:tc>
          <w:tcPr>
            <w:tcW w:w="1842" w:type="dxa"/>
          </w:tcPr>
          <w:p w14:paraId="19D9A444" w14:textId="77777777" w:rsidR="00334D6D" w:rsidRPr="00B55DDC" w:rsidRDefault="00334D6D" w:rsidP="00846DCD">
            <w:pPr>
              <w:pStyle w:val="Geenafstand"/>
            </w:pPr>
            <w:r w:rsidRPr="00B55DDC">
              <w:t>4</w:t>
            </w:r>
          </w:p>
        </w:tc>
      </w:tr>
      <w:tr w:rsidR="00334D6D" w:rsidRPr="00B55DDC" w14:paraId="2CE1A4F8" w14:textId="77777777" w:rsidTr="00334D6D">
        <w:tc>
          <w:tcPr>
            <w:tcW w:w="919" w:type="dxa"/>
          </w:tcPr>
          <w:p w14:paraId="2DCAD30A" w14:textId="77777777" w:rsidR="00334D6D" w:rsidRPr="00B55DDC" w:rsidRDefault="005D3A0C" w:rsidP="00846DCD">
            <w:pPr>
              <w:pStyle w:val="Geenafstand"/>
            </w:pPr>
            <w:r w:rsidRPr="00B55DDC">
              <w:t>d</w:t>
            </w:r>
          </w:p>
        </w:tc>
        <w:tc>
          <w:tcPr>
            <w:tcW w:w="6306" w:type="dxa"/>
          </w:tcPr>
          <w:p w14:paraId="590EFAED" w14:textId="77777777" w:rsidR="00334D6D" w:rsidRPr="00B55DDC" w:rsidRDefault="00334D6D" w:rsidP="00846DCD">
            <w:pPr>
              <w:pStyle w:val="Geenafstand"/>
            </w:pPr>
            <w:r>
              <w:t>Documentation of organizational boundaries</w:t>
            </w:r>
          </w:p>
        </w:tc>
        <w:tc>
          <w:tcPr>
            <w:tcW w:w="1842" w:type="dxa"/>
          </w:tcPr>
          <w:p w14:paraId="2EBD3D33" w14:textId="77777777" w:rsidR="00334D6D" w:rsidRPr="00B55DDC" w:rsidRDefault="00334D6D" w:rsidP="00846DCD">
            <w:pPr>
              <w:pStyle w:val="Geenafstand"/>
            </w:pPr>
            <w:r>
              <w:t>5</w:t>
            </w:r>
          </w:p>
        </w:tc>
      </w:tr>
      <w:tr w:rsidR="00334D6D" w:rsidRPr="00B55DDC" w14:paraId="2589D8A2" w14:textId="77777777" w:rsidTr="00334D6D">
        <w:tc>
          <w:tcPr>
            <w:tcW w:w="919" w:type="dxa"/>
          </w:tcPr>
          <w:p w14:paraId="678296F5" w14:textId="77777777" w:rsidR="00334D6D" w:rsidRPr="00B55DDC" w:rsidRDefault="005D3A0C" w:rsidP="00846DCD">
            <w:pPr>
              <w:pStyle w:val="Geenafstand"/>
            </w:pPr>
            <w:r w:rsidRPr="00B55DDC">
              <w:t>e</w:t>
            </w:r>
          </w:p>
        </w:tc>
        <w:tc>
          <w:tcPr>
            <w:tcW w:w="6306" w:type="dxa"/>
          </w:tcPr>
          <w:p w14:paraId="17E61F2E" w14:textId="77777777" w:rsidR="00334D6D" w:rsidRPr="00A27A7C" w:rsidRDefault="00334D6D" w:rsidP="00846DCD">
            <w:pPr>
              <w:pStyle w:val="Geenafstand"/>
              <w:rPr>
                <w:lang w:val="en-US"/>
              </w:rPr>
            </w:pPr>
            <w:r w:rsidRPr="00A27A7C">
              <w:rPr>
                <w:lang w:val="en-US"/>
              </w:rPr>
              <w:t>Documentation of reporting boundaries, including criteria determined by the organization to define significant emissions</w:t>
            </w:r>
          </w:p>
        </w:tc>
        <w:tc>
          <w:tcPr>
            <w:tcW w:w="1842" w:type="dxa"/>
          </w:tcPr>
          <w:p w14:paraId="7246E9F2" w14:textId="77777777" w:rsidR="00334D6D" w:rsidRPr="00B55DDC" w:rsidRDefault="00334D6D" w:rsidP="00846DCD">
            <w:pPr>
              <w:pStyle w:val="Geenafstand"/>
            </w:pPr>
            <w:r>
              <w:t>5</w:t>
            </w:r>
          </w:p>
        </w:tc>
      </w:tr>
      <w:tr w:rsidR="00334D6D" w:rsidRPr="00B55DDC" w14:paraId="1689ED37" w14:textId="77777777" w:rsidTr="00334D6D">
        <w:tc>
          <w:tcPr>
            <w:tcW w:w="919" w:type="dxa"/>
          </w:tcPr>
          <w:p w14:paraId="34489219" w14:textId="77777777" w:rsidR="00334D6D" w:rsidRPr="00B55DDC" w:rsidRDefault="005D3A0C" w:rsidP="00846DCD">
            <w:pPr>
              <w:pStyle w:val="Geenafstand"/>
            </w:pPr>
            <w:r w:rsidRPr="00B55DDC">
              <w:t>f</w:t>
            </w:r>
          </w:p>
        </w:tc>
        <w:tc>
          <w:tcPr>
            <w:tcW w:w="6306" w:type="dxa"/>
          </w:tcPr>
          <w:p w14:paraId="5F199B5A" w14:textId="77777777" w:rsidR="00334D6D" w:rsidRPr="00A27A7C" w:rsidRDefault="00334D6D" w:rsidP="00846DCD">
            <w:pPr>
              <w:pStyle w:val="Geenafstand"/>
              <w:rPr>
                <w:lang w:val="en-US"/>
              </w:rPr>
            </w:pPr>
            <w:r w:rsidRPr="00A27A7C">
              <w:rPr>
                <w:lang w:val="en-US"/>
              </w:rPr>
              <w:t>Direct GHG emissions, quantified separately for CO2, CH4, N2O, NF3, SF6 and other appropriate GHG groups (HFC’s, PFCs, etc.) in tonnes of CO2e</w:t>
            </w:r>
          </w:p>
        </w:tc>
        <w:tc>
          <w:tcPr>
            <w:tcW w:w="1842" w:type="dxa"/>
          </w:tcPr>
          <w:p w14:paraId="7469B677" w14:textId="77777777" w:rsidR="00334D6D" w:rsidRPr="00B55DDC" w:rsidRDefault="00334D6D" w:rsidP="00846DCD">
            <w:pPr>
              <w:pStyle w:val="Geenafstand"/>
            </w:pPr>
            <w:r>
              <w:t>6</w:t>
            </w:r>
          </w:p>
        </w:tc>
      </w:tr>
      <w:tr w:rsidR="00334D6D" w:rsidRPr="00B55DDC" w14:paraId="6F1FE1C4" w14:textId="77777777" w:rsidTr="00334D6D">
        <w:tc>
          <w:tcPr>
            <w:tcW w:w="919" w:type="dxa"/>
          </w:tcPr>
          <w:p w14:paraId="445E25BB" w14:textId="77777777" w:rsidR="00334D6D" w:rsidRPr="00B55DDC" w:rsidRDefault="005D3A0C" w:rsidP="00846DCD">
            <w:pPr>
              <w:pStyle w:val="Geenafstand"/>
            </w:pPr>
            <w:r>
              <w:t>g</w:t>
            </w:r>
          </w:p>
        </w:tc>
        <w:tc>
          <w:tcPr>
            <w:tcW w:w="6306" w:type="dxa"/>
          </w:tcPr>
          <w:p w14:paraId="6ADA4D19" w14:textId="77777777" w:rsidR="00334D6D" w:rsidRPr="00A27A7C" w:rsidRDefault="00334D6D" w:rsidP="00846DCD">
            <w:pPr>
              <w:pStyle w:val="Geenafstand"/>
              <w:rPr>
                <w:lang w:val="en-US"/>
              </w:rPr>
            </w:pPr>
            <w:r w:rsidRPr="00A27A7C">
              <w:rPr>
                <w:lang w:val="en-US"/>
              </w:rPr>
              <w:t>A description of how biogenic CO2 emissions and removals are treated in the GHG inventory and the relevant biogenic CO2 emissions and removals quantified separately in tonnes of CO2e</w:t>
            </w:r>
          </w:p>
        </w:tc>
        <w:tc>
          <w:tcPr>
            <w:tcW w:w="1842" w:type="dxa"/>
          </w:tcPr>
          <w:p w14:paraId="53CCB3F0" w14:textId="77777777" w:rsidR="00334D6D" w:rsidRPr="00B55DDC" w:rsidRDefault="005D3A0C" w:rsidP="00846DCD">
            <w:pPr>
              <w:pStyle w:val="Geenafstand"/>
            </w:pPr>
            <w:r>
              <w:t>6</w:t>
            </w:r>
          </w:p>
        </w:tc>
      </w:tr>
      <w:tr w:rsidR="00334D6D" w:rsidRPr="00B55DDC" w14:paraId="334BDB62" w14:textId="77777777" w:rsidTr="00334D6D">
        <w:tc>
          <w:tcPr>
            <w:tcW w:w="919" w:type="dxa"/>
          </w:tcPr>
          <w:p w14:paraId="35250567" w14:textId="77777777" w:rsidR="00334D6D" w:rsidRPr="00B55DDC" w:rsidRDefault="005D3A0C" w:rsidP="00846DCD">
            <w:pPr>
              <w:pStyle w:val="Geenafstand"/>
            </w:pPr>
            <w:r>
              <w:t>h</w:t>
            </w:r>
          </w:p>
        </w:tc>
        <w:tc>
          <w:tcPr>
            <w:tcW w:w="6306" w:type="dxa"/>
          </w:tcPr>
          <w:p w14:paraId="684D1B27" w14:textId="77777777" w:rsidR="00334D6D" w:rsidRPr="00A27A7C" w:rsidRDefault="00334D6D" w:rsidP="00846DCD">
            <w:pPr>
              <w:pStyle w:val="Geenafstand"/>
              <w:rPr>
                <w:lang w:val="en-US"/>
              </w:rPr>
            </w:pPr>
            <w:r w:rsidRPr="00A27A7C">
              <w:rPr>
                <w:lang w:val="en-US"/>
              </w:rPr>
              <w:t>If quantified, direct GHG removals, in tones of CO2e</w:t>
            </w:r>
          </w:p>
        </w:tc>
        <w:tc>
          <w:tcPr>
            <w:tcW w:w="1842" w:type="dxa"/>
          </w:tcPr>
          <w:p w14:paraId="7117A618" w14:textId="77777777" w:rsidR="00334D6D" w:rsidRPr="00B55DDC" w:rsidRDefault="005D3A0C" w:rsidP="00846DCD">
            <w:pPr>
              <w:pStyle w:val="Geenafstand"/>
            </w:pPr>
            <w:r>
              <w:t>6</w:t>
            </w:r>
          </w:p>
        </w:tc>
      </w:tr>
      <w:tr w:rsidR="00334D6D" w:rsidRPr="00B55DDC" w14:paraId="053F9923" w14:textId="77777777" w:rsidTr="00334D6D">
        <w:tc>
          <w:tcPr>
            <w:tcW w:w="919" w:type="dxa"/>
          </w:tcPr>
          <w:p w14:paraId="002C1167" w14:textId="77777777" w:rsidR="00334D6D" w:rsidRPr="00B55DDC" w:rsidRDefault="005D3A0C" w:rsidP="00846DCD">
            <w:pPr>
              <w:pStyle w:val="Geenafstand"/>
            </w:pPr>
            <w:r>
              <w:t>i</w:t>
            </w:r>
          </w:p>
        </w:tc>
        <w:tc>
          <w:tcPr>
            <w:tcW w:w="6306" w:type="dxa"/>
          </w:tcPr>
          <w:p w14:paraId="35A444E1" w14:textId="77777777" w:rsidR="00334D6D" w:rsidRPr="00FF7BF1" w:rsidRDefault="00334D6D" w:rsidP="00846DCD">
            <w:pPr>
              <w:pStyle w:val="Geenafstand"/>
              <w:rPr>
                <w:lang w:val="en-US"/>
              </w:rPr>
            </w:pPr>
            <w:r w:rsidRPr="00A27A7C">
              <w:rPr>
                <w:lang w:val="en-US"/>
              </w:rPr>
              <w:t>Explanation of the exclusion of any significant GHG sources or sinks from the quantification</w:t>
            </w:r>
          </w:p>
        </w:tc>
        <w:tc>
          <w:tcPr>
            <w:tcW w:w="1842" w:type="dxa"/>
          </w:tcPr>
          <w:p w14:paraId="79F348DF" w14:textId="77777777" w:rsidR="00334D6D" w:rsidRPr="00B55DDC" w:rsidRDefault="005D3A0C" w:rsidP="00846DCD">
            <w:pPr>
              <w:pStyle w:val="Geenafstand"/>
            </w:pPr>
            <w:r>
              <w:t>6</w:t>
            </w:r>
          </w:p>
        </w:tc>
      </w:tr>
      <w:tr w:rsidR="00334D6D" w:rsidRPr="00B55DDC" w14:paraId="3A1775E6" w14:textId="77777777" w:rsidTr="00334D6D">
        <w:tc>
          <w:tcPr>
            <w:tcW w:w="919" w:type="dxa"/>
          </w:tcPr>
          <w:p w14:paraId="73E28C95" w14:textId="77777777" w:rsidR="00334D6D" w:rsidRPr="00B55DDC" w:rsidRDefault="005D3A0C" w:rsidP="00846DCD">
            <w:pPr>
              <w:pStyle w:val="Geenafstand"/>
            </w:pPr>
            <w:r>
              <w:t>j</w:t>
            </w:r>
          </w:p>
        </w:tc>
        <w:tc>
          <w:tcPr>
            <w:tcW w:w="6306" w:type="dxa"/>
          </w:tcPr>
          <w:p w14:paraId="55382B29" w14:textId="77777777" w:rsidR="00334D6D" w:rsidRPr="00A27A7C" w:rsidRDefault="00334D6D" w:rsidP="00846DCD">
            <w:pPr>
              <w:pStyle w:val="Geenafstand"/>
              <w:rPr>
                <w:lang w:val="en-US"/>
              </w:rPr>
            </w:pPr>
            <w:r w:rsidRPr="00A27A7C">
              <w:rPr>
                <w:lang w:val="en-US"/>
              </w:rPr>
              <w:t>Quantified indirect GHG emissions separated by category in tonnes of CO2e</w:t>
            </w:r>
          </w:p>
        </w:tc>
        <w:tc>
          <w:tcPr>
            <w:tcW w:w="1842" w:type="dxa"/>
          </w:tcPr>
          <w:p w14:paraId="66DCA79F" w14:textId="77777777" w:rsidR="00334D6D" w:rsidRPr="00B55DDC" w:rsidRDefault="005D3A0C" w:rsidP="00846DCD">
            <w:pPr>
              <w:pStyle w:val="Geenafstand"/>
            </w:pPr>
            <w:r>
              <w:t>6</w:t>
            </w:r>
          </w:p>
        </w:tc>
      </w:tr>
      <w:tr w:rsidR="00334D6D" w:rsidRPr="00B55DDC" w14:paraId="61F28BB3" w14:textId="77777777" w:rsidTr="00334D6D">
        <w:tc>
          <w:tcPr>
            <w:tcW w:w="919" w:type="dxa"/>
          </w:tcPr>
          <w:p w14:paraId="3112CB0D" w14:textId="77777777" w:rsidR="00334D6D" w:rsidRPr="00B55DDC" w:rsidRDefault="005D3A0C" w:rsidP="00846DCD">
            <w:pPr>
              <w:pStyle w:val="Geenafstand"/>
            </w:pPr>
            <w:r>
              <w:t>k</w:t>
            </w:r>
          </w:p>
        </w:tc>
        <w:tc>
          <w:tcPr>
            <w:tcW w:w="6306" w:type="dxa"/>
          </w:tcPr>
          <w:p w14:paraId="39048B0A" w14:textId="77777777" w:rsidR="00334D6D" w:rsidRPr="00A27A7C" w:rsidRDefault="00334D6D" w:rsidP="00846DCD">
            <w:pPr>
              <w:pStyle w:val="Geenafstand"/>
              <w:rPr>
                <w:lang w:val="en-US"/>
              </w:rPr>
            </w:pPr>
            <w:r w:rsidRPr="00A27A7C">
              <w:rPr>
                <w:lang w:val="en-US"/>
              </w:rPr>
              <w:t>The historical base selected and the base-year GHG inventory</w:t>
            </w:r>
          </w:p>
        </w:tc>
        <w:tc>
          <w:tcPr>
            <w:tcW w:w="1842" w:type="dxa"/>
          </w:tcPr>
          <w:p w14:paraId="7E56C5E3" w14:textId="77777777" w:rsidR="00334D6D" w:rsidRPr="00B55DDC" w:rsidRDefault="005D3A0C" w:rsidP="00846DCD">
            <w:pPr>
              <w:pStyle w:val="Geenafstand"/>
            </w:pPr>
            <w:r>
              <w:t>4</w:t>
            </w:r>
          </w:p>
        </w:tc>
      </w:tr>
      <w:tr w:rsidR="00334D6D" w:rsidRPr="00B55DDC" w14:paraId="598108A2" w14:textId="77777777" w:rsidTr="00334D6D">
        <w:tc>
          <w:tcPr>
            <w:tcW w:w="919" w:type="dxa"/>
          </w:tcPr>
          <w:p w14:paraId="30E64425" w14:textId="77777777" w:rsidR="00334D6D" w:rsidRPr="00B55DDC" w:rsidRDefault="005D3A0C" w:rsidP="00846DCD">
            <w:pPr>
              <w:pStyle w:val="Geenafstand"/>
            </w:pPr>
            <w:r>
              <w:t>l</w:t>
            </w:r>
          </w:p>
        </w:tc>
        <w:tc>
          <w:tcPr>
            <w:tcW w:w="6306" w:type="dxa"/>
          </w:tcPr>
          <w:p w14:paraId="0CD10B6C" w14:textId="77777777" w:rsidR="00334D6D" w:rsidRPr="00A27A7C" w:rsidRDefault="00334D6D" w:rsidP="00846DCD">
            <w:pPr>
              <w:pStyle w:val="Geenafstand"/>
              <w:rPr>
                <w:lang w:val="en-US"/>
              </w:rPr>
            </w:pPr>
            <w:r w:rsidRPr="00A27A7C">
              <w:rPr>
                <w:lang w:val="en-US"/>
              </w:rPr>
              <w:t>Explanation of any change to the base year or other historical GHG data or categorization and any recalculation of the base year or other historical GHG inventory and documentation of any limitations to comparability resulting from such recalculation</w:t>
            </w:r>
          </w:p>
        </w:tc>
        <w:tc>
          <w:tcPr>
            <w:tcW w:w="1842" w:type="dxa"/>
          </w:tcPr>
          <w:p w14:paraId="4AAFE8C1" w14:textId="77777777" w:rsidR="00334D6D" w:rsidRPr="00B55DDC" w:rsidRDefault="005D3A0C" w:rsidP="00846DCD">
            <w:pPr>
              <w:pStyle w:val="Geenafstand"/>
            </w:pPr>
            <w:r>
              <w:t>4</w:t>
            </w:r>
          </w:p>
        </w:tc>
      </w:tr>
      <w:tr w:rsidR="00334D6D" w:rsidRPr="00B55DDC" w14:paraId="613223C7" w14:textId="77777777" w:rsidTr="00334D6D">
        <w:tc>
          <w:tcPr>
            <w:tcW w:w="919" w:type="dxa"/>
          </w:tcPr>
          <w:p w14:paraId="4635047F" w14:textId="77777777" w:rsidR="00334D6D" w:rsidRPr="00B55DDC" w:rsidRDefault="005D3A0C" w:rsidP="00846DCD">
            <w:pPr>
              <w:pStyle w:val="Geenafstand"/>
            </w:pPr>
            <w:r>
              <w:t>m</w:t>
            </w:r>
          </w:p>
        </w:tc>
        <w:tc>
          <w:tcPr>
            <w:tcW w:w="6306" w:type="dxa"/>
          </w:tcPr>
          <w:p w14:paraId="7AFA4736" w14:textId="77777777" w:rsidR="00334D6D" w:rsidRPr="00A27A7C" w:rsidRDefault="00334D6D" w:rsidP="00846DCD">
            <w:pPr>
              <w:pStyle w:val="Geenafstand"/>
              <w:rPr>
                <w:lang w:val="en-US"/>
              </w:rPr>
            </w:pPr>
            <w:r w:rsidRPr="00A27A7C">
              <w:rPr>
                <w:lang w:val="en-US"/>
              </w:rPr>
              <w:t>Reference to, or description of, quantification approaches, including reasons for their selection</w:t>
            </w:r>
          </w:p>
        </w:tc>
        <w:tc>
          <w:tcPr>
            <w:tcW w:w="1842" w:type="dxa"/>
          </w:tcPr>
          <w:p w14:paraId="6E8AE2F8" w14:textId="77777777" w:rsidR="00334D6D" w:rsidRPr="00B55DDC" w:rsidRDefault="005D3A0C" w:rsidP="00846DCD">
            <w:pPr>
              <w:pStyle w:val="Geenafstand"/>
            </w:pPr>
            <w:r>
              <w:t>8</w:t>
            </w:r>
          </w:p>
        </w:tc>
      </w:tr>
      <w:tr w:rsidR="00334D6D" w:rsidRPr="00B55DDC" w14:paraId="49F7D6CE" w14:textId="77777777" w:rsidTr="00334D6D">
        <w:tc>
          <w:tcPr>
            <w:tcW w:w="919" w:type="dxa"/>
          </w:tcPr>
          <w:p w14:paraId="5B93617B" w14:textId="77777777" w:rsidR="00334D6D" w:rsidRPr="00B55DDC" w:rsidRDefault="005D3A0C" w:rsidP="00846DCD">
            <w:pPr>
              <w:pStyle w:val="Geenafstand"/>
            </w:pPr>
            <w:r>
              <w:t>n</w:t>
            </w:r>
          </w:p>
        </w:tc>
        <w:tc>
          <w:tcPr>
            <w:tcW w:w="6306" w:type="dxa"/>
          </w:tcPr>
          <w:p w14:paraId="400FA3DE" w14:textId="77777777" w:rsidR="00334D6D" w:rsidRPr="00A27A7C" w:rsidRDefault="00334D6D" w:rsidP="00846DCD">
            <w:pPr>
              <w:pStyle w:val="Geenafstand"/>
              <w:rPr>
                <w:lang w:val="en-US"/>
              </w:rPr>
            </w:pPr>
            <w:r w:rsidRPr="00A27A7C">
              <w:rPr>
                <w:lang w:val="en-US"/>
              </w:rPr>
              <w:t>Explanation of any change to quantification approaches previously used</w:t>
            </w:r>
          </w:p>
        </w:tc>
        <w:tc>
          <w:tcPr>
            <w:tcW w:w="1842" w:type="dxa"/>
          </w:tcPr>
          <w:p w14:paraId="330E62FA" w14:textId="77777777" w:rsidR="00334D6D" w:rsidRPr="00B55DDC" w:rsidRDefault="005D3A0C" w:rsidP="00846DCD">
            <w:pPr>
              <w:pStyle w:val="Geenafstand"/>
            </w:pPr>
            <w:r>
              <w:t>8</w:t>
            </w:r>
          </w:p>
        </w:tc>
      </w:tr>
      <w:tr w:rsidR="00334D6D" w:rsidRPr="00B55DDC" w14:paraId="6845F0E2" w14:textId="77777777" w:rsidTr="00334D6D">
        <w:tc>
          <w:tcPr>
            <w:tcW w:w="919" w:type="dxa"/>
          </w:tcPr>
          <w:p w14:paraId="43F86956" w14:textId="77777777" w:rsidR="00334D6D" w:rsidRPr="00B55DDC" w:rsidRDefault="005D3A0C" w:rsidP="00846DCD">
            <w:pPr>
              <w:pStyle w:val="Geenafstand"/>
            </w:pPr>
            <w:r>
              <w:t>o</w:t>
            </w:r>
          </w:p>
        </w:tc>
        <w:tc>
          <w:tcPr>
            <w:tcW w:w="6306" w:type="dxa"/>
          </w:tcPr>
          <w:p w14:paraId="2BEDF38B" w14:textId="77777777" w:rsidR="00334D6D" w:rsidRPr="00FF7BF1" w:rsidRDefault="00334D6D" w:rsidP="00846DCD">
            <w:pPr>
              <w:pStyle w:val="Geenafstand"/>
              <w:rPr>
                <w:lang w:val="en-US"/>
              </w:rPr>
            </w:pPr>
            <w:r w:rsidRPr="00A27A7C">
              <w:rPr>
                <w:lang w:val="en-US"/>
              </w:rPr>
              <w:t>Reference to, or documentation of, GHG emission or removal factors used</w:t>
            </w:r>
          </w:p>
        </w:tc>
        <w:tc>
          <w:tcPr>
            <w:tcW w:w="1842" w:type="dxa"/>
          </w:tcPr>
          <w:p w14:paraId="62A4D32B" w14:textId="77777777" w:rsidR="00334D6D" w:rsidRPr="00B55DDC" w:rsidRDefault="005D3A0C" w:rsidP="00846DCD">
            <w:pPr>
              <w:pStyle w:val="Geenafstand"/>
            </w:pPr>
            <w:r>
              <w:t>8</w:t>
            </w:r>
          </w:p>
        </w:tc>
      </w:tr>
      <w:tr w:rsidR="00334D6D" w:rsidRPr="00B55DDC" w14:paraId="748B1048" w14:textId="77777777" w:rsidTr="00334D6D">
        <w:tc>
          <w:tcPr>
            <w:tcW w:w="919" w:type="dxa"/>
          </w:tcPr>
          <w:p w14:paraId="5E370D41" w14:textId="77777777" w:rsidR="00334D6D" w:rsidRPr="00B55DDC" w:rsidRDefault="005D3A0C" w:rsidP="00846DCD">
            <w:pPr>
              <w:pStyle w:val="Geenafstand"/>
            </w:pPr>
            <w:r>
              <w:t>p</w:t>
            </w:r>
          </w:p>
        </w:tc>
        <w:tc>
          <w:tcPr>
            <w:tcW w:w="6306" w:type="dxa"/>
          </w:tcPr>
          <w:p w14:paraId="010459D3" w14:textId="77777777" w:rsidR="00334D6D" w:rsidRPr="00A27A7C" w:rsidRDefault="00334D6D" w:rsidP="00846DCD">
            <w:pPr>
              <w:pStyle w:val="Geenafstand"/>
              <w:rPr>
                <w:lang w:val="en-US"/>
              </w:rPr>
            </w:pPr>
            <w:r w:rsidRPr="00A27A7C">
              <w:rPr>
                <w:lang w:val="en-US"/>
              </w:rPr>
              <w:t>Description of the impact of uncertainties on the accuracy of the GHG emissions and removals data per category</w:t>
            </w:r>
          </w:p>
        </w:tc>
        <w:tc>
          <w:tcPr>
            <w:tcW w:w="1842" w:type="dxa"/>
          </w:tcPr>
          <w:p w14:paraId="1EF693A6" w14:textId="77777777" w:rsidR="00334D6D" w:rsidRPr="00B55DDC" w:rsidRDefault="00334D6D" w:rsidP="00846DCD">
            <w:pPr>
              <w:pStyle w:val="Geenafstand"/>
            </w:pPr>
            <w:r w:rsidRPr="00B55DDC">
              <w:t>9</w:t>
            </w:r>
          </w:p>
        </w:tc>
      </w:tr>
      <w:tr w:rsidR="00334D6D" w:rsidRPr="00B55DDC" w14:paraId="7BAEACD7" w14:textId="77777777" w:rsidTr="00334D6D">
        <w:tc>
          <w:tcPr>
            <w:tcW w:w="919" w:type="dxa"/>
          </w:tcPr>
          <w:p w14:paraId="15FCA2B7" w14:textId="77777777" w:rsidR="00334D6D" w:rsidRDefault="005D3A0C" w:rsidP="00846DCD">
            <w:pPr>
              <w:pStyle w:val="Geenafstand"/>
            </w:pPr>
            <w:r>
              <w:t>q</w:t>
            </w:r>
          </w:p>
        </w:tc>
        <w:tc>
          <w:tcPr>
            <w:tcW w:w="6306" w:type="dxa"/>
          </w:tcPr>
          <w:p w14:paraId="17FB0ECA" w14:textId="77777777" w:rsidR="00334D6D" w:rsidRPr="00A27A7C" w:rsidRDefault="00334D6D" w:rsidP="00846DCD">
            <w:pPr>
              <w:pStyle w:val="Geenafstand"/>
              <w:rPr>
                <w:lang w:val="en-US"/>
              </w:rPr>
            </w:pPr>
            <w:r w:rsidRPr="00A27A7C">
              <w:rPr>
                <w:lang w:val="en-US"/>
              </w:rPr>
              <w:t>Uncertainty assessment description and results</w:t>
            </w:r>
          </w:p>
        </w:tc>
        <w:tc>
          <w:tcPr>
            <w:tcW w:w="1842" w:type="dxa"/>
          </w:tcPr>
          <w:p w14:paraId="157319BA" w14:textId="77777777" w:rsidR="00334D6D" w:rsidRPr="00B55DDC" w:rsidRDefault="005D3A0C" w:rsidP="00846DCD">
            <w:pPr>
              <w:pStyle w:val="Geenafstand"/>
            </w:pPr>
            <w:r>
              <w:t>9</w:t>
            </w:r>
          </w:p>
        </w:tc>
      </w:tr>
      <w:tr w:rsidR="00334D6D" w:rsidRPr="00B55DDC" w14:paraId="0BCDDFC4" w14:textId="77777777" w:rsidTr="00334D6D">
        <w:trPr>
          <w:trHeight w:val="77"/>
        </w:trPr>
        <w:tc>
          <w:tcPr>
            <w:tcW w:w="919" w:type="dxa"/>
          </w:tcPr>
          <w:p w14:paraId="77299DC0" w14:textId="77777777" w:rsidR="00334D6D" w:rsidRPr="00B55DDC" w:rsidRDefault="005D3A0C" w:rsidP="00846DCD">
            <w:pPr>
              <w:pStyle w:val="Geenafstand"/>
            </w:pPr>
            <w:r>
              <w:t>r</w:t>
            </w:r>
          </w:p>
        </w:tc>
        <w:tc>
          <w:tcPr>
            <w:tcW w:w="6306" w:type="dxa"/>
          </w:tcPr>
          <w:p w14:paraId="1295D373" w14:textId="77777777" w:rsidR="00334D6D" w:rsidRPr="00FF7BF1" w:rsidRDefault="00334D6D" w:rsidP="00846DCD">
            <w:pPr>
              <w:pStyle w:val="Geenafstand"/>
              <w:rPr>
                <w:lang w:val="en-US"/>
              </w:rPr>
            </w:pPr>
            <w:r w:rsidRPr="00A27A7C">
              <w:rPr>
                <w:lang w:val="en-US"/>
              </w:rPr>
              <w:t>A statement that the GHG report has been prepared in accordance with this document Bijlage s. A disclosure describi</w:t>
            </w:r>
          </w:p>
        </w:tc>
        <w:tc>
          <w:tcPr>
            <w:tcW w:w="1842" w:type="dxa"/>
          </w:tcPr>
          <w:p w14:paraId="18DDB0A1" w14:textId="77777777" w:rsidR="00334D6D" w:rsidRPr="00B55DDC" w:rsidRDefault="00334D6D" w:rsidP="00846DCD">
            <w:pPr>
              <w:pStyle w:val="Geenafstand"/>
            </w:pPr>
            <w:r w:rsidRPr="00B55DDC">
              <w:t>10</w:t>
            </w:r>
          </w:p>
        </w:tc>
      </w:tr>
      <w:tr w:rsidR="00334D6D" w:rsidRPr="00B55DDC" w14:paraId="4AA1CA3F" w14:textId="77777777" w:rsidTr="00334D6D">
        <w:trPr>
          <w:trHeight w:val="77"/>
        </w:trPr>
        <w:tc>
          <w:tcPr>
            <w:tcW w:w="919" w:type="dxa"/>
          </w:tcPr>
          <w:p w14:paraId="740E1C6B" w14:textId="77777777" w:rsidR="00334D6D" w:rsidRPr="00B55DDC" w:rsidRDefault="005D3A0C" w:rsidP="00846DCD">
            <w:pPr>
              <w:pStyle w:val="Geenafstand"/>
            </w:pPr>
            <w:r>
              <w:t>s</w:t>
            </w:r>
          </w:p>
        </w:tc>
        <w:tc>
          <w:tcPr>
            <w:tcW w:w="6306" w:type="dxa"/>
          </w:tcPr>
          <w:p w14:paraId="5C653A3E" w14:textId="77777777" w:rsidR="00334D6D" w:rsidRPr="00A27A7C" w:rsidRDefault="00334D6D" w:rsidP="00846DCD">
            <w:pPr>
              <w:pStyle w:val="Geenafstand"/>
              <w:rPr>
                <w:lang w:val="en-US"/>
              </w:rPr>
            </w:pPr>
            <w:r w:rsidRPr="00A27A7C">
              <w:rPr>
                <w:lang w:val="en-US"/>
              </w:rPr>
              <w:t>A disclosure describing whether the GHG inventory, report or statement has been verified, including the type of verification and the level of assurance achieved</w:t>
            </w:r>
          </w:p>
        </w:tc>
        <w:tc>
          <w:tcPr>
            <w:tcW w:w="1842" w:type="dxa"/>
          </w:tcPr>
          <w:p w14:paraId="327842A7" w14:textId="77777777" w:rsidR="00334D6D" w:rsidRPr="00B55DDC" w:rsidRDefault="005D3A0C" w:rsidP="00846DCD">
            <w:pPr>
              <w:pStyle w:val="Geenafstand"/>
            </w:pPr>
            <w:r>
              <w:t>6</w:t>
            </w:r>
          </w:p>
        </w:tc>
      </w:tr>
      <w:tr w:rsidR="00334D6D" w:rsidRPr="00B55DDC" w14:paraId="504B71C2" w14:textId="77777777" w:rsidTr="00334D6D">
        <w:trPr>
          <w:trHeight w:val="77"/>
        </w:trPr>
        <w:tc>
          <w:tcPr>
            <w:tcW w:w="919" w:type="dxa"/>
          </w:tcPr>
          <w:p w14:paraId="3BD8BAF6" w14:textId="77777777" w:rsidR="00334D6D" w:rsidRDefault="005D3A0C" w:rsidP="00846DCD">
            <w:pPr>
              <w:pStyle w:val="Geenafstand"/>
            </w:pPr>
            <w:r>
              <w:t>t</w:t>
            </w:r>
          </w:p>
        </w:tc>
        <w:tc>
          <w:tcPr>
            <w:tcW w:w="6306" w:type="dxa"/>
          </w:tcPr>
          <w:p w14:paraId="048954AD" w14:textId="77777777" w:rsidR="00334D6D" w:rsidRPr="00A27A7C" w:rsidRDefault="00334D6D" w:rsidP="00846DCD">
            <w:pPr>
              <w:pStyle w:val="Geenafstand"/>
              <w:rPr>
                <w:lang w:val="en-US"/>
              </w:rPr>
            </w:pPr>
            <w:r w:rsidRPr="00A27A7C">
              <w:rPr>
                <w:lang w:val="en-US"/>
              </w:rPr>
              <w:t>The GWP values used in the calculation, as well as their source. If the GWP values are not taken from the latest IPCC report, include the emission factors or the database reference used in the calculation, as well as their source.</w:t>
            </w:r>
          </w:p>
        </w:tc>
        <w:tc>
          <w:tcPr>
            <w:tcW w:w="1842" w:type="dxa"/>
          </w:tcPr>
          <w:p w14:paraId="23821424" w14:textId="77777777" w:rsidR="00334D6D" w:rsidRPr="00B55DDC" w:rsidRDefault="005D3A0C" w:rsidP="00846DCD">
            <w:pPr>
              <w:pStyle w:val="Geenafstand"/>
            </w:pPr>
            <w:r>
              <w:t>8</w:t>
            </w:r>
          </w:p>
        </w:tc>
      </w:tr>
    </w:tbl>
    <w:p w14:paraId="795800A8" w14:textId="77777777" w:rsidR="00846DCD" w:rsidRPr="00AA6E37" w:rsidRDefault="00846DCD" w:rsidP="00846DCD">
      <w:pPr>
        <w:pStyle w:val="Geenafstand"/>
      </w:pPr>
    </w:p>
    <w:sectPr w:rsidR="00846DCD" w:rsidRPr="00AA6E3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E3C68" w14:textId="77777777" w:rsidR="00AA6E37" w:rsidRDefault="00AA6E37" w:rsidP="00AA6E37">
      <w:pPr>
        <w:spacing w:after="0" w:line="240" w:lineRule="auto"/>
      </w:pPr>
      <w:r>
        <w:separator/>
      </w:r>
    </w:p>
  </w:endnote>
  <w:endnote w:type="continuationSeparator" w:id="0">
    <w:p w14:paraId="271B4730" w14:textId="77777777" w:rsidR="00AA6E37" w:rsidRDefault="00AA6E37" w:rsidP="00AA6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43461" w14:textId="77777777" w:rsidR="00846DCD" w:rsidRDefault="00846DCD" w:rsidP="000E4570">
    <w:pPr>
      <w:pStyle w:val="Voettekst"/>
      <w:ind w:left="3252" w:firstLine="3828"/>
      <w:jc w:val="right"/>
    </w:pPr>
    <w:r>
      <w:rPr>
        <w:noProof/>
        <w:lang w:eastAsia="nl-NL"/>
      </w:rPr>
      <w:drawing>
        <wp:anchor distT="0" distB="0" distL="114300" distR="114300" simplePos="0" relativeHeight="251659264" behindDoc="0" locked="0" layoutInCell="1" allowOverlap="1" wp14:anchorId="110A747B" wp14:editId="59235B10">
          <wp:simplePos x="0" y="0"/>
          <wp:positionH relativeFrom="margin">
            <wp:posOffset>-600075</wp:posOffset>
          </wp:positionH>
          <wp:positionV relativeFrom="paragraph">
            <wp:posOffset>-38100</wp:posOffset>
          </wp:positionV>
          <wp:extent cx="2159635" cy="467995"/>
          <wp:effectExtent l="0" t="0" r="0" b="8255"/>
          <wp:wrapNone/>
          <wp:docPr id="1" name="Afbeelding 1" descr="C:\Users\iklaarenbeek\AppData\Local\Microsoft\Windows\INetCache\Content.Word\PNG - Cumela logo zonder 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klaarenbeek\AppData\Local\Microsoft\Windows\INetCache\Content.Word\PNG - Cumela logo zonder 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3CF">
      <w:t>©Cumela Advies</w:t>
    </w:r>
    <w:r>
      <w:rPr>
        <w:noProof/>
        <w:lang w:eastAsia="nl-NL"/>
      </w:rPr>
      <w:t xml:space="preserve"> </w:t>
    </w:r>
    <w:r w:rsidRPr="00BD501B">
      <w:rPr>
        <w:noProof/>
        <w:lang w:eastAsia="nl-NL"/>
      </w:rPr>
      <w:drawing>
        <wp:anchor distT="0" distB="0" distL="114300" distR="114300" simplePos="0" relativeHeight="251660288" behindDoc="1" locked="0" layoutInCell="1" allowOverlap="1" wp14:anchorId="3C69607C" wp14:editId="31A74F90">
          <wp:simplePos x="0" y="0"/>
          <wp:positionH relativeFrom="margin">
            <wp:posOffset>1409700</wp:posOffset>
          </wp:positionH>
          <wp:positionV relativeFrom="paragraph">
            <wp:posOffset>-4263390</wp:posOffset>
          </wp:positionV>
          <wp:extent cx="4869618" cy="4764808"/>
          <wp:effectExtent l="0" t="0" r="7620" b="0"/>
          <wp:wrapNone/>
          <wp:docPr id="4" name="Afbeelding 4" descr="C:\Users\iklaarenbeek\AppData\Local\Microsoft\Windows\INetCache\Content.Word\Wiel uit briefpapier-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klaarenbeek\AppData\Local\Microsoft\Windows\INetCache\Content.Word\Wiel uit briefpapier-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69618" cy="4764808"/>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25BA309A" w14:textId="77777777" w:rsidR="00846DCD" w:rsidRPr="00B64E10" w:rsidRDefault="00846DCD" w:rsidP="000E4570">
    <w:pPr>
      <w:pStyle w:val="Voettekst"/>
      <w:ind w:left="3252" w:firstLine="3828"/>
      <w:jc w:val="right"/>
    </w:pPr>
    <w:r w:rsidRPr="00B64E10">
      <w:t xml:space="preserve">Pagina </w:t>
    </w:r>
    <w:r w:rsidRPr="00B64E10">
      <w:rPr>
        <w:bCs/>
      </w:rPr>
      <w:fldChar w:fldCharType="begin"/>
    </w:r>
    <w:r w:rsidRPr="00B64E10">
      <w:rPr>
        <w:bCs/>
      </w:rPr>
      <w:instrText>PAGE  \* Arabic  \* MERGEFORMAT</w:instrText>
    </w:r>
    <w:r w:rsidRPr="00B64E10">
      <w:rPr>
        <w:bCs/>
      </w:rPr>
      <w:fldChar w:fldCharType="separate"/>
    </w:r>
    <w:r w:rsidR="00C01EEB">
      <w:rPr>
        <w:bCs/>
        <w:noProof/>
      </w:rPr>
      <w:t>4</w:t>
    </w:r>
    <w:r w:rsidRPr="00B64E10">
      <w:rPr>
        <w:bCs/>
      </w:rPr>
      <w:fldChar w:fldCharType="end"/>
    </w:r>
    <w:r w:rsidRPr="00B64E10">
      <w:t xml:space="preserve"> van </w:t>
    </w:r>
    <w:r w:rsidRPr="00B64E10">
      <w:rPr>
        <w:bCs/>
      </w:rPr>
      <w:fldChar w:fldCharType="begin"/>
    </w:r>
    <w:r w:rsidRPr="00B64E10">
      <w:rPr>
        <w:bCs/>
      </w:rPr>
      <w:instrText>NUMPAGES  \* Arabic  \* MERGEFORMAT</w:instrText>
    </w:r>
    <w:r w:rsidRPr="00B64E10">
      <w:rPr>
        <w:bCs/>
      </w:rPr>
      <w:fldChar w:fldCharType="separate"/>
    </w:r>
    <w:r w:rsidR="00C01EEB">
      <w:rPr>
        <w:bCs/>
        <w:noProof/>
      </w:rPr>
      <w:t>6</w:t>
    </w:r>
    <w:r w:rsidRPr="00B64E10">
      <w:rPr>
        <w:bCs/>
      </w:rPr>
      <w:fldChar w:fldCharType="end"/>
    </w:r>
  </w:p>
  <w:p w14:paraId="72E742BC" w14:textId="3AEC178B" w:rsidR="00846DCD" w:rsidRDefault="00846DCD" w:rsidP="000E4570">
    <w:pPr>
      <w:pStyle w:val="Voettekst"/>
      <w:ind w:left="3252"/>
      <w:jc w:val="right"/>
    </w:pPr>
    <w:r>
      <w:rPr>
        <w:b/>
      </w:rPr>
      <w:tab/>
    </w:r>
    <w:r>
      <w:tab/>
    </w:r>
    <w:r w:rsidR="001C0497">
      <w:t xml:space="preserve">3 </w:t>
    </w:r>
    <w:r w:rsidR="00372906">
      <w:t>December</w:t>
    </w:r>
    <w:r>
      <w:t xml:space="preserve"> 202</w:t>
    </w:r>
    <w:r w:rsidR="00372906">
      <w:t>1</w:t>
    </w:r>
  </w:p>
  <w:p w14:paraId="2CF80861" w14:textId="77777777" w:rsidR="00846DCD" w:rsidRDefault="00846D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6160D" w14:textId="77777777" w:rsidR="00AA6E37" w:rsidRDefault="00AA6E37" w:rsidP="00AA6E37">
      <w:pPr>
        <w:spacing w:after="0" w:line="240" w:lineRule="auto"/>
      </w:pPr>
      <w:r>
        <w:separator/>
      </w:r>
    </w:p>
  </w:footnote>
  <w:footnote w:type="continuationSeparator" w:id="0">
    <w:p w14:paraId="0C18DDE7" w14:textId="77777777" w:rsidR="00AA6E37" w:rsidRDefault="00AA6E37" w:rsidP="00AA6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304E" w14:textId="77777777" w:rsidR="00AA6E37" w:rsidRPr="004713CF" w:rsidRDefault="007B56E9" w:rsidP="00134CA2">
    <w:pPr>
      <w:pStyle w:val="Koptekst"/>
      <w:rPr>
        <w:sz w:val="28"/>
        <w:szCs w:val="28"/>
      </w:rPr>
    </w:pPr>
    <w:sdt>
      <w:sdtPr>
        <w:rPr>
          <w:b/>
          <w:i/>
          <w:noProof/>
          <w:sz w:val="36"/>
          <w:szCs w:val="36"/>
          <w:lang w:eastAsia="nl-NL"/>
        </w:rPr>
        <w:alias w:val="Auteur"/>
        <w:tag w:val=""/>
        <w:id w:val="-807851449"/>
        <w:placeholder>
          <w:docPart w:val="7EF459EDAB9A411DA3F2947E9626A7EF"/>
        </w:placeholder>
        <w:dataBinding w:prefixMappings="xmlns:ns0='http://purl.org/dc/elements/1.1/' xmlns:ns1='http://schemas.openxmlformats.org/package/2006/metadata/core-properties' " w:xpath="/ns1:coreProperties[1]/ns0:creator[1]" w:storeItemID="{6C3C8BC8-F283-45AE-878A-BAB7291924A1}"/>
        <w:text/>
      </w:sdtPr>
      <w:sdtEndPr/>
      <w:sdtContent>
        <w:r w:rsidR="00C01EEB">
          <w:rPr>
            <w:b/>
            <w:i/>
            <w:noProof/>
            <w:sz w:val="36"/>
            <w:szCs w:val="36"/>
            <w:lang w:eastAsia="nl-NL"/>
          </w:rPr>
          <w:t>VOF Kennes</w:t>
        </w:r>
      </w:sdtContent>
    </w:sdt>
    <w:r w:rsidR="00AA6E37" w:rsidRPr="004713CF">
      <w:rPr>
        <w:b/>
        <w:sz w:val="28"/>
        <w:szCs w:val="28"/>
      </w:rPr>
      <w:t xml:space="preserve"> </w:t>
    </w:r>
    <w:r w:rsidR="00AA6E37">
      <w:rPr>
        <w:b/>
        <w:sz w:val="28"/>
        <w:szCs w:val="28"/>
      </w:rPr>
      <w:tab/>
    </w:r>
    <w:r w:rsidR="00AA6E37">
      <w:rPr>
        <w:b/>
        <w:sz w:val="28"/>
        <w:szCs w:val="28"/>
      </w:rPr>
      <w:tab/>
    </w:r>
    <w:r w:rsidR="00AA6E37" w:rsidRPr="00AA6E37">
      <w:rPr>
        <w:b/>
        <w:sz w:val="28"/>
        <w:szCs w:val="28"/>
      </w:rPr>
      <w:t>315.2 Emissie inventarisrapport</w:t>
    </w:r>
  </w:p>
  <w:p w14:paraId="3A87F801" w14:textId="77777777" w:rsidR="00AA6E37" w:rsidRDefault="00AA6E3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12BB2"/>
    <w:multiLevelType w:val="multilevel"/>
    <w:tmpl w:val="604A8FB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FDB5465"/>
    <w:multiLevelType w:val="multilevel"/>
    <w:tmpl w:val="F4D67C8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E37"/>
    <w:rsid w:val="00000FFC"/>
    <w:rsid w:val="00001B6A"/>
    <w:rsid w:val="00004212"/>
    <w:rsid w:val="00006C5A"/>
    <w:rsid w:val="00007A25"/>
    <w:rsid w:val="000109A7"/>
    <w:rsid w:val="000114F0"/>
    <w:rsid w:val="00013779"/>
    <w:rsid w:val="00016509"/>
    <w:rsid w:val="0001652D"/>
    <w:rsid w:val="00017020"/>
    <w:rsid w:val="00022C27"/>
    <w:rsid w:val="000258EC"/>
    <w:rsid w:val="000262B3"/>
    <w:rsid w:val="00026648"/>
    <w:rsid w:val="00026BFE"/>
    <w:rsid w:val="000312B2"/>
    <w:rsid w:val="00032061"/>
    <w:rsid w:val="00032F1F"/>
    <w:rsid w:val="000339D7"/>
    <w:rsid w:val="00034F48"/>
    <w:rsid w:val="00037FD7"/>
    <w:rsid w:val="0004027A"/>
    <w:rsid w:val="00042218"/>
    <w:rsid w:val="00042DFF"/>
    <w:rsid w:val="0004364D"/>
    <w:rsid w:val="00044CE1"/>
    <w:rsid w:val="00045BF5"/>
    <w:rsid w:val="00047AE8"/>
    <w:rsid w:val="00051706"/>
    <w:rsid w:val="00053B27"/>
    <w:rsid w:val="000543B7"/>
    <w:rsid w:val="0006157F"/>
    <w:rsid w:val="00063BFA"/>
    <w:rsid w:val="0006607A"/>
    <w:rsid w:val="00070177"/>
    <w:rsid w:val="00081BE9"/>
    <w:rsid w:val="00084A79"/>
    <w:rsid w:val="000850F7"/>
    <w:rsid w:val="000853C2"/>
    <w:rsid w:val="00087BCB"/>
    <w:rsid w:val="00093294"/>
    <w:rsid w:val="00094901"/>
    <w:rsid w:val="0009589D"/>
    <w:rsid w:val="000968EF"/>
    <w:rsid w:val="00097176"/>
    <w:rsid w:val="000A3623"/>
    <w:rsid w:val="000A4813"/>
    <w:rsid w:val="000A4C3D"/>
    <w:rsid w:val="000A634D"/>
    <w:rsid w:val="000A6E57"/>
    <w:rsid w:val="000A79A9"/>
    <w:rsid w:val="000B0A47"/>
    <w:rsid w:val="000B0C90"/>
    <w:rsid w:val="000B1DBF"/>
    <w:rsid w:val="000B1ED5"/>
    <w:rsid w:val="000B21DF"/>
    <w:rsid w:val="000B53C7"/>
    <w:rsid w:val="000B6062"/>
    <w:rsid w:val="000B7902"/>
    <w:rsid w:val="000B7E1B"/>
    <w:rsid w:val="000C1380"/>
    <w:rsid w:val="000C66B0"/>
    <w:rsid w:val="000D2D8C"/>
    <w:rsid w:val="000D3849"/>
    <w:rsid w:val="000D38BD"/>
    <w:rsid w:val="000D60F8"/>
    <w:rsid w:val="000E0972"/>
    <w:rsid w:val="000E43D3"/>
    <w:rsid w:val="000F07A0"/>
    <w:rsid w:val="000F10B5"/>
    <w:rsid w:val="000F451B"/>
    <w:rsid w:val="000F4DF4"/>
    <w:rsid w:val="000F5957"/>
    <w:rsid w:val="00101AE2"/>
    <w:rsid w:val="00102341"/>
    <w:rsid w:val="00103F60"/>
    <w:rsid w:val="001040CC"/>
    <w:rsid w:val="001061D2"/>
    <w:rsid w:val="001065E0"/>
    <w:rsid w:val="001076C9"/>
    <w:rsid w:val="0010794B"/>
    <w:rsid w:val="0011315B"/>
    <w:rsid w:val="00113474"/>
    <w:rsid w:val="00113A0E"/>
    <w:rsid w:val="001158A6"/>
    <w:rsid w:val="001165DB"/>
    <w:rsid w:val="001179BA"/>
    <w:rsid w:val="001213E9"/>
    <w:rsid w:val="00125839"/>
    <w:rsid w:val="0012673C"/>
    <w:rsid w:val="00127514"/>
    <w:rsid w:val="00127EA3"/>
    <w:rsid w:val="0013156F"/>
    <w:rsid w:val="001335E2"/>
    <w:rsid w:val="0013507C"/>
    <w:rsid w:val="0014090F"/>
    <w:rsid w:val="001413B5"/>
    <w:rsid w:val="00143D9A"/>
    <w:rsid w:val="00144473"/>
    <w:rsid w:val="0014527B"/>
    <w:rsid w:val="001452D1"/>
    <w:rsid w:val="00146FAC"/>
    <w:rsid w:val="00147BDA"/>
    <w:rsid w:val="0015608A"/>
    <w:rsid w:val="00157298"/>
    <w:rsid w:val="001573D6"/>
    <w:rsid w:val="001577C0"/>
    <w:rsid w:val="00157FFE"/>
    <w:rsid w:val="00161239"/>
    <w:rsid w:val="00162C2E"/>
    <w:rsid w:val="00165D04"/>
    <w:rsid w:val="001808F4"/>
    <w:rsid w:val="00193F9B"/>
    <w:rsid w:val="00195A23"/>
    <w:rsid w:val="001971F5"/>
    <w:rsid w:val="001A2EAE"/>
    <w:rsid w:val="001A414E"/>
    <w:rsid w:val="001A4405"/>
    <w:rsid w:val="001A564D"/>
    <w:rsid w:val="001B2483"/>
    <w:rsid w:val="001B33D7"/>
    <w:rsid w:val="001B4B62"/>
    <w:rsid w:val="001B6639"/>
    <w:rsid w:val="001C0497"/>
    <w:rsid w:val="001C1308"/>
    <w:rsid w:val="001C534D"/>
    <w:rsid w:val="001D0909"/>
    <w:rsid w:val="001D1070"/>
    <w:rsid w:val="001D5D2B"/>
    <w:rsid w:val="001D6425"/>
    <w:rsid w:val="001D6A83"/>
    <w:rsid w:val="001E22FE"/>
    <w:rsid w:val="001E252B"/>
    <w:rsid w:val="001E28AE"/>
    <w:rsid w:val="001E4796"/>
    <w:rsid w:val="001E4EE9"/>
    <w:rsid w:val="001E572B"/>
    <w:rsid w:val="001F0901"/>
    <w:rsid w:val="001F79A3"/>
    <w:rsid w:val="001F7D6F"/>
    <w:rsid w:val="002016E3"/>
    <w:rsid w:val="002059C4"/>
    <w:rsid w:val="00205A3B"/>
    <w:rsid w:val="0020706D"/>
    <w:rsid w:val="00213481"/>
    <w:rsid w:val="00214752"/>
    <w:rsid w:val="002200B1"/>
    <w:rsid w:val="0022026E"/>
    <w:rsid w:val="0022105D"/>
    <w:rsid w:val="00225BED"/>
    <w:rsid w:val="002276AB"/>
    <w:rsid w:val="00232741"/>
    <w:rsid w:val="0023763A"/>
    <w:rsid w:val="00242E7C"/>
    <w:rsid w:val="00245871"/>
    <w:rsid w:val="00245949"/>
    <w:rsid w:val="002501A3"/>
    <w:rsid w:val="0025221B"/>
    <w:rsid w:val="002527D9"/>
    <w:rsid w:val="00256C38"/>
    <w:rsid w:val="00263AF6"/>
    <w:rsid w:val="00263E59"/>
    <w:rsid w:val="0026799F"/>
    <w:rsid w:val="0027121A"/>
    <w:rsid w:val="002730B4"/>
    <w:rsid w:val="00275ECF"/>
    <w:rsid w:val="00276116"/>
    <w:rsid w:val="002767C9"/>
    <w:rsid w:val="00280AAE"/>
    <w:rsid w:val="002850CD"/>
    <w:rsid w:val="0028621B"/>
    <w:rsid w:val="002864A5"/>
    <w:rsid w:val="002916C0"/>
    <w:rsid w:val="002960A9"/>
    <w:rsid w:val="00296A0E"/>
    <w:rsid w:val="00296A89"/>
    <w:rsid w:val="002A164B"/>
    <w:rsid w:val="002A1C82"/>
    <w:rsid w:val="002B1BFB"/>
    <w:rsid w:val="002B53BC"/>
    <w:rsid w:val="002B7F41"/>
    <w:rsid w:val="002C32F1"/>
    <w:rsid w:val="002C3E50"/>
    <w:rsid w:val="002C43A8"/>
    <w:rsid w:val="002D169C"/>
    <w:rsid w:val="002D3349"/>
    <w:rsid w:val="002D39D1"/>
    <w:rsid w:val="002D5F28"/>
    <w:rsid w:val="002D6E98"/>
    <w:rsid w:val="002E34F7"/>
    <w:rsid w:val="002E47F9"/>
    <w:rsid w:val="002E715D"/>
    <w:rsid w:val="002F07B3"/>
    <w:rsid w:val="002F406E"/>
    <w:rsid w:val="002F4457"/>
    <w:rsid w:val="002F512F"/>
    <w:rsid w:val="002F6210"/>
    <w:rsid w:val="0030044D"/>
    <w:rsid w:val="0030175B"/>
    <w:rsid w:val="003073BC"/>
    <w:rsid w:val="00314950"/>
    <w:rsid w:val="00315627"/>
    <w:rsid w:val="00315E2D"/>
    <w:rsid w:val="003176C2"/>
    <w:rsid w:val="00320517"/>
    <w:rsid w:val="003206EF"/>
    <w:rsid w:val="00321621"/>
    <w:rsid w:val="003236E3"/>
    <w:rsid w:val="00324AA9"/>
    <w:rsid w:val="00324C68"/>
    <w:rsid w:val="0032599C"/>
    <w:rsid w:val="00330293"/>
    <w:rsid w:val="00330A86"/>
    <w:rsid w:val="00330B2D"/>
    <w:rsid w:val="0033321A"/>
    <w:rsid w:val="00334D6D"/>
    <w:rsid w:val="003352EB"/>
    <w:rsid w:val="00341F93"/>
    <w:rsid w:val="00342353"/>
    <w:rsid w:val="00343781"/>
    <w:rsid w:val="00344B06"/>
    <w:rsid w:val="0034590F"/>
    <w:rsid w:val="003468A0"/>
    <w:rsid w:val="00350531"/>
    <w:rsid w:val="0035163B"/>
    <w:rsid w:val="003517E7"/>
    <w:rsid w:val="00351CF5"/>
    <w:rsid w:val="003530F1"/>
    <w:rsid w:val="00353467"/>
    <w:rsid w:val="00353C85"/>
    <w:rsid w:val="00354343"/>
    <w:rsid w:val="00354B96"/>
    <w:rsid w:val="00356EC7"/>
    <w:rsid w:val="00357839"/>
    <w:rsid w:val="0036073E"/>
    <w:rsid w:val="00360967"/>
    <w:rsid w:val="003631C4"/>
    <w:rsid w:val="00367311"/>
    <w:rsid w:val="00372906"/>
    <w:rsid w:val="00374359"/>
    <w:rsid w:val="003748CC"/>
    <w:rsid w:val="00374F97"/>
    <w:rsid w:val="00376307"/>
    <w:rsid w:val="003831FF"/>
    <w:rsid w:val="003855BB"/>
    <w:rsid w:val="003913A3"/>
    <w:rsid w:val="00391D6A"/>
    <w:rsid w:val="00392DE2"/>
    <w:rsid w:val="00393356"/>
    <w:rsid w:val="00393B25"/>
    <w:rsid w:val="00394BD7"/>
    <w:rsid w:val="00397FC5"/>
    <w:rsid w:val="003A1E79"/>
    <w:rsid w:val="003A4CD9"/>
    <w:rsid w:val="003B2141"/>
    <w:rsid w:val="003B22C0"/>
    <w:rsid w:val="003B3197"/>
    <w:rsid w:val="003B4834"/>
    <w:rsid w:val="003B7301"/>
    <w:rsid w:val="003C0193"/>
    <w:rsid w:val="003C0FA2"/>
    <w:rsid w:val="003C1624"/>
    <w:rsid w:val="003C4B1F"/>
    <w:rsid w:val="003C6AB0"/>
    <w:rsid w:val="003C76A5"/>
    <w:rsid w:val="003D1CAB"/>
    <w:rsid w:val="003D20E5"/>
    <w:rsid w:val="003D2225"/>
    <w:rsid w:val="003D6F33"/>
    <w:rsid w:val="003D7AAA"/>
    <w:rsid w:val="003E129E"/>
    <w:rsid w:val="003E3A7A"/>
    <w:rsid w:val="003E3F0B"/>
    <w:rsid w:val="003E4E76"/>
    <w:rsid w:val="003F0878"/>
    <w:rsid w:val="003F3DC8"/>
    <w:rsid w:val="003F41D5"/>
    <w:rsid w:val="003F54BB"/>
    <w:rsid w:val="00400C43"/>
    <w:rsid w:val="004026A0"/>
    <w:rsid w:val="004051AF"/>
    <w:rsid w:val="0040545B"/>
    <w:rsid w:val="00407608"/>
    <w:rsid w:val="00411804"/>
    <w:rsid w:val="0041794F"/>
    <w:rsid w:val="004213B8"/>
    <w:rsid w:val="00422982"/>
    <w:rsid w:val="00422D53"/>
    <w:rsid w:val="00426471"/>
    <w:rsid w:val="00431340"/>
    <w:rsid w:val="00432D99"/>
    <w:rsid w:val="00440A1E"/>
    <w:rsid w:val="0044615F"/>
    <w:rsid w:val="00446751"/>
    <w:rsid w:val="004471EF"/>
    <w:rsid w:val="00450E2D"/>
    <w:rsid w:val="00450FE9"/>
    <w:rsid w:val="004549E3"/>
    <w:rsid w:val="00455761"/>
    <w:rsid w:val="00457448"/>
    <w:rsid w:val="00464E41"/>
    <w:rsid w:val="0046598A"/>
    <w:rsid w:val="00466E01"/>
    <w:rsid w:val="00470520"/>
    <w:rsid w:val="004732CD"/>
    <w:rsid w:val="00483D17"/>
    <w:rsid w:val="004843DF"/>
    <w:rsid w:val="0048444C"/>
    <w:rsid w:val="00491112"/>
    <w:rsid w:val="00493381"/>
    <w:rsid w:val="00496224"/>
    <w:rsid w:val="004A0185"/>
    <w:rsid w:val="004A298A"/>
    <w:rsid w:val="004A34B1"/>
    <w:rsid w:val="004A5291"/>
    <w:rsid w:val="004C4733"/>
    <w:rsid w:val="004C5757"/>
    <w:rsid w:val="004C5A9A"/>
    <w:rsid w:val="004C5F05"/>
    <w:rsid w:val="004C6A0E"/>
    <w:rsid w:val="004C6F92"/>
    <w:rsid w:val="004C7F99"/>
    <w:rsid w:val="004D1D69"/>
    <w:rsid w:val="004D3900"/>
    <w:rsid w:val="004D3A4B"/>
    <w:rsid w:val="004D3C68"/>
    <w:rsid w:val="004D4151"/>
    <w:rsid w:val="004D4C6B"/>
    <w:rsid w:val="004D709C"/>
    <w:rsid w:val="004E07AA"/>
    <w:rsid w:val="004E3003"/>
    <w:rsid w:val="004E36D7"/>
    <w:rsid w:val="004E53F4"/>
    <w:rsid w:val="004F1EB9"/>
    <w:rsid w:val="004F50D0"/>
    <w:rsid w:val="004F621A"/>
    <w:rsid w:val="0050500F"/>
    <w:rsid w:val="00505C91"/>
    <w:rsid w:val="00506606"/>
    <w:rsid w:val="005101F8"/>
    <w:rsid w:val="00512FCE"/>
    <w:rsid w:val="00514312"/>
    <w:rsid w:val="0051516E"/>
    <w:rsid w:val="005152DF"/>
    <w:rsid w:val="00516EE9"/>
    <w:rsid w:val="00521302"/>
    <w:rsid w:val="00521DC6"/>
    <w:rsid w:val="00521F69"/>
    <w:rsid w:val="00522C19"/>
    <w:rsid w:val="00524FB2"/>
    <w:rsid w:val="00530A45"/>
    <w:rsid w:val="00532E8F"/>
    <w:rsid w:val="00533714"/>
    <w:rsid w:val="00533955"/>
    <w:rsid w:val="00534AA5"/>
    <w:rsid w:val="0054243E"/>
    <w:rsid w:val="00542C8E"/>
    <w:rsid w:val="00545810"/>
    <w:rsid w:val="00545CA8"/>
    <w:rsid w:val="0055173E"/>
    <w:rsid w:val="00553D63"/>
    <w:rsid w:val="00554C2F"/>
    <w:rsid w:val="00562803"/>
    <w:rsid w:val="00562A88"/>
    <w:rsid w:val="0056626C"/>
    <w:rsid w:val="00571421"/>
    <w:rsid w:val="00571829"/>
    <w:rsid w:val="00572F9A"/>
    <w:rsid w:val="005779CF"/>
    <w:rsid w:val="00580008"/>
    <w:rsid w:val="005829D4"/>
    <w:rsid w:val="00584789"/>
    <w:rsid w:val="00585D4A"/>
    <w:rsid w:val="00586D07"/>
    <w:rsid w:val="005904F4"/>
    <w:rsid w:val="005912FE"/>
    <w:rsid w:val="00593C90"/>
    <w:rsid w:val="00597E37"/>
    <w:rsid w:val="005A0AEB"/>
    <w:rsid w:val="005B3AB8"/>
    <w:rsid w:val="005B417B"/>
    <w:rsid w:val="005B4D47"/>
    <w:rsid w:val="005B5D67"/>
    <w:rsid w:val="005B641F"/>
    <w:rsid w:val="005B6A25"/>
    <w:rsid w:val="005C2D9A"/>
    <w:rsid w:val="005C30C1"/>
    <w:rsid w:val="005C490D"/>
    <w:rsid w:val="005C57F3"/>
    <w:rsid w:val="005D0BF1"/>
    <w:rsid w:val="005D1E11"/>
    <w:rsid w:val="005D3A0C"/>
    <w:rsid w:val="005D4DEB"/>
    <w:rsid w:val="005D7146"/>
    <w:rsid w:val="005D727E"/>
    <w:rsid w:val="005E2CF9"/>
    <w:rsid w:val="005E2DE3"/>
    <w:rsid w:val="005E4EBD"/>
    <w:rsid w:val="005E6CC0"/>
    <w:rsid w:val="005F1612"/>
    <w:rsid w:val="005F422E"/>
    <w:rsid w:val="005F4BDA"/>
    <w:rsid w:val="005F5714"/>
    <w:rsid w:val="005F5C13"/>
    <w:rsid w:val="005F7409"/>
    <w:rsid w:val="006078B8"/>
    <w:rsid w:val="006117F1"/>
    <w:rsid w:val="00613E6B"/>
    <w:rsid w:val="00614C12"/>
    <w:rsid w:val="00616434"/>
    <w:rsid w:val="00616B03"/>
    <w:rsid w:val="00620F1E"/>
    <w:rsid w:val="00622D6D"/>
    <w:rsid w:val="0062607A"/>
    <w:rsid w:val="00630483"/>
    <w:rsid w:val="00630A61"/>
    <w:rsid w:val="00633F15"/>
    <w:rsid w:val="0063538C"/>
    <w:rsid w:val="00643375"/>
    <w:rsid w:val="00643439"/>
    <w:rsid w:val="00644AB3"/>
    <w:rsid w:val="0064527E"/>
    <w:rsid w:val="00645DF1"/>
    <w:rsid w:val="00656792"/>
    <w:rsid w:val="00666E23"/>
    <w:rsid w:val="0066785A"/>
    <w:rsid w:val="006707C0"/>
    <w:rsid w:val="0067157D"/>
    <w:rsid w:val="00671B93"/>
    <w:rsid w:val="006731F2"/>
    <w:rsid w:val="00673587"/>
    <w:rsid w:val="006736B5"/>
    <w:rsid w:val="00673EE8"/>
    <w:rsid w:val="00674082"/>
    <w:rsid w:val="00674FF0"/>
    <w:rsid w:val="00681D8E"/>
    <w:rsid w:val="006820DE"/>
    <w:rsid w:val="00683B05"/>
    <w:rsid w:val="006865C2"/>
    <w:rsid w:val="00691ECF"/>
    <w:rsid w:val="00694AC9"/>
    <w:rsid w:val="006A2DBD"/>
    <w:rsid w:val="006A3FF1"/>
    <w:rsid w:val="006A49C2"/>
    <w:rsid w:val="006A57AF"/>
    <w:rsid w:val="006A6B93"/>
    <w:rsid w:val="006B089B"/>
    <w:rsid w:val="006B4BEB"/>
    <w:rsid w:val="006B56BC"/>
    <w:rsid w:val="006B5BD8"/>
    <w:rsid w:val="006C0278"/>
    <w:rsid w:val="006C1439"/>
    <w:rsid w:val="006C2A97"/>
    <w:rsid w:val="006C53F4"/>
    <w:rsid w:val="006C6B34"/>
    <w:rsid w:val="006C7047"/>
    <w:rsid w:val="006D0C51"/>
    <w:rsid w:val="006D287C"/>
    <w:rsid w:val="006D50DB"/>
    <w:rsid w:val="006D7B54"/>
    <w:rsid w:val="006D7CB5"/>
    <w:rsid w:val="006E19C9"/>
    <w:rsid w:val="006E5547"/>
    <w:rsid w:val="006E5710"/>
    <w:rsid w:val="006E60F4"/>
    <w:rsid w:val="006E6B79"/>
    <w:rsid w:val="006E6B7E"/>
    <w:rsid w:val="006E6D1D"/>
    <w:rsid w:val="006F6119"/>
    <w:rsid w:val="006F759F"/>
    <w:rsid w:val="00702012"/>
    <w:rsid w:val="0070670F"/>
    <w:rsid w:val="007074F2"/>
    <w:rsid w:val="00715575"/>
    <w:rsid w:val="0071576C"/>
    <w:rsid w:val="00722D36"/>
    <w:rsid w:val="007233F2"/>
    <w:rsid w:val="007269B4"/>
    <w:rsid w:val="00730E01"/>
    <w:rsid w:val="00731F78"/>
    <w:rsid w:val="00732936"/>
    <w:rsid w:val="00736469"/>
    <w:rsid w:val="0073686E"/>
    <w:rsid w:val="00737EA2"/>
    <w:rsid w:val="00740212"/>
    <w:rsid w:val="00740261"/>
    <w:rsid w:val="007413C4"/>
    <w:rsid w:val="007435EF"/>
    <w:rsid w:val="00746513"/>
    <w:rsid w:val="00746D9B"/>
    <w:rsid w:val="00747948"/>
    <w:rsid w:val="0074794B"/>
    <w:rsid w:val="00747ACE"/>
    <w:rsid w:val="007505EE"/>
    <w:rsid w:val="00750C00"/>
    <w:rsid w:val="00752C87"/>
    <w:rsid w:val="00756877"/>
    <w:rsid w:val="0075798B"/>
    <w:rsid w:val="00760447"/>
    <w:rsid w:val="00762DEE"/>
    <w:rsid w:val="007644B6"/>
    <w:rsid w:val="00764D1C"/>
    <w:rsid w:val="007674F0"/>
    <w:rsid w:val="00771618"/>
    <w:rsid w:val="00780C85"/>
    <w:rsid w:val="00781361"/>
    <w:rsid w:val="007848F3"/>
    <w:rsid w:val="00787790"/>
    <w:rsid w:val="00790740"/>
    <w:rsid w:val="00791EDD"/>
    <w:rsid w:val="007977E8"/>
    <w:rsid w:val="00797DE4"/>
    <w:rsid w:val="007A050C"/>
    <w:rsid w:val="007A3179"/>
    <w:rsid w:val="007A4270"/>
    <w:rsid w:val="007A4DA1"/>
    <w:rsid w:val="007A7EF4"/>
    <w:rsid w:val="007B03EB"/>
    <w:rsid w:val="007B15E2"/>
    <w:rsid w:val="007B1641"/>
    <w:rsid w:val="007B1A4C"/>
    <w:rsid w:val="007B1DA3"/>
    <w:rsid w:val="007B56E9"/>
    <w:rsid w:val="007B625B"/>
    <w:rsid w:val="007B6A1A"/>
    <w:rsid w:val="007B71D6"/>
    <w:rsid w:val="007C1134"/>
    <w:rsid w:val="007C20E8"/>
    <w:rsid w:val="007C3D06"/>
    <w:rsid w:val="007C3D37"/>
    <w:rsid w:val="007C6475"/>
    <w:rsid w:val="007C6E62"/>
    <w:rsid w:val="007C770C"/>
    <w:rsid w:val="007E1C67"/>
    <w:rsid w:val="007E2EF2"/>
    <w:rsid w:val="007E46B5"/>
    <w:rsid w:val="007E474C"/>
    <w:rsid w:val="007F00E1"/>
    <w:rsid w:val="007F334A"/>
    <w:rsid w:val="007F3A27"/>
    <w:rsid w:val="007F54FD"/>
    <w:rsid w:val="007F5926"/>
    <w:rsid w:val="007F7568"/>
    <w:rsid w:val="00802B09"/>
    <w:rsid w:val="00807CD0"/>
    <w:rsid w:val="00810761"/>
    <w:rsid w:val="008112E5"/>
    <w:rsid w:val="00815684"/>
    <w:rsid w:val="00822E52"/>
    <w:rsid w:val="00824256"/>
    <w:rsid w:val="00824944"/>
    <w:rsid w:val="00825D05"/>
    <w:rsid w:val="008274C0"/>
    <w:rsid w:val="00831D13"/>
    <w:rsid w:val="00832788"/>
    <w:rsid w:val="00832EDC"/>
    <w:rsid w:val="0083368E"/>
    <w:rsid w:val="00840533"/>
    <w:rsid w:val="00846DCD"/>
    <w:rsid w:val="00846EC0"/>
    <w:rsid w:val="00847B4C"/>
    <w:rsid w:val="00850CF2"/>
    <w:rsid w:val="00853822"/>
    <w:rsid w:val="00854035"/>
    <w:rsid w:val="008557CB"/>
    <w:rsid w:val="00855A21"/>
    <w:rsid w:val="0085649F"/>
    <w:rsid w:val="00856B5A"/>
    <w:rsid w:val="008648C1"/>
    <w:rsid w:val="00864A89"/>
    <w:rsid w:val="00867B59"/>
    <w:rsid w:val="008714ED"/>
    <w:rsid w:val="00871546"/>
    <w:rsid w:val="00871F09"/>
    <w:rsid w:val="00872F4D"/>
    <w:rsid w:val="00873979"/>
    <w:rsid w:val="00882FA6"/>
    <w:rsid w:val="00885A99"/>
    <w:rsid w:val="00892002"/>
    <w:rsid w:val="00892F4C"/>
    <w:rsid w:val="00893366"/>
    <w:rsid w:val="0089581A"/>
    <w:rsid w:val="00897F40"/>
    <w:rsid w:val="008A0019"/>
    <w:rsid w:val="008A0EE8"/>
    <w:rsid w:val="008A106C"/>
    <w:rsid w:val="008A21C5"/>
    <w:rsid w:val="008A39A7"/>
    <w:rsid w:val="008A46DF"/>
    <w:rsid w:val="008A4E97"/>
    <w:rsid w:val="008A5051"/>
    <w:rsid w:val="008A72D7"/>
    <w:rsid w:val="008B04B4"/>
    <w:rsid w:val="008B094C"/>
    <w:rsid w:val="008B1138"/>
    <w:rsid w:val="008B645E"/>
    <w:rsid w:val="008C3E40"/>
    <w:rsid w:val="008C5F11"/>
    <w:rsid w:val="008D1CCB"/>
    <w:rsid w:val="008D5A82"/>
    <w:rsid w:val="008D6CE3"/>
    <w:rsid w:val="008D7D12"/>
    <w:rsid w:val="008E0F6A"/>
    <w:rsid w:val="008E52F5"/>
    <w:rsid w:val="008E5E57"/>
    <w:rsid w:val="008E5E89"/>
    <w:rsid w:val="008E67DC"/>
    <w:rsid w:val="008F1C20"/>
    <w:rsid w:val="008F2171"/>
    <w:rsid w:val="008F2558"/>
    <w:rsid w:val="008F2B6C"/>
    <w:rsid w:val="008F455E"/>
    <w:rsid w:val="008F55A1"/>
    <w:rsid w:val="00901EC6"/>
    <w:rsid w:val="0090268B"/>
    <w:rsid w:val="00903AC3"/>
    <w:rsid w:val="0090464B"/>
    <w:rsid w:val="00904667"/>
    <w:rsid w:val="00905D6E"/>
    <w:rsid w:val="009066D1"/>
    <w:rsid w:val="00906E5D"/>
    <w:rsid w:val="00914302"/>
    <w:rsid w:val="00917830"/>
    <w:rsid w:val="00917D45"/>
    <w:rsid w:val="0092560C"/>
    <w:rsid w:val="00931069"/>
    <w:rsid w:val="0093342B"/>
    <w:rsid w:val="00934204"/>
    <w:rsid w:val="00935EF9"/>
    <w:rsid w:val="00935FCE"/>
    <w:rsid w:val="00936310"/>
    <w:rsid w:val="00937786"/>
    <w:rsid w:val="00943733"/>
    <w:rsid w:val="00944069"/>
    <w:rsid w:val="00947C5C"/>
    <w:rsid w:val="00950B34"/>
    <w:rsid w:val="00961443"/>
    <w:rsid w:val="00963E91"/>
    <w:rsid w:val="00963F6F"/>
    <w:rsid w:val="00971120"/>
    <w:rsid w:val="0097527C"/>
    <w:rsid w:val="0097753C"/>
    <w:rsid w:val="00984ABC"/>
    <w:rsid w:val="00987951"/>
    <w:rsid w:val="00992E7B"/>
    <w:rsid w:val="0099416E"/>
    <w:rsid w:val="00995DB3"/>
    <w:rsid w:val="009968E2"/>
    <w:rsid w:val="00996BA3"/>
    <w:rsid w:val="00997C99"/>
    <w:rsid w:val="009A0743"/>
    <w:rsid w:val="009A199C"/>
    <w:rsid w:val="009A373F"/>
    <w:rsid w:val="009A3870"/>
    <w:rsid w:val="009A62EF"/>
    <w:rsid w:val="009A7380"/>
    <w:rsid w:val="009A7BDA"/>
    <w:rsid w:val="009B10AA"/>
    <w:rsid w:val="009B2702"/>
    <w:rsid w:val="009B795B"/>
    <w:rsid w:val="009D5F96"/>
    <w:rsid w:val="009D6C17"/>
    <w:rsid w:val="009E0355"/>
    <w:rsid w:val="009E1AA8"/>
    <w:rsid w:val="009E48E5"/>
    <w:rsid w:val="009E5683"/>
    <w:rsid w:val="009F273F"/>
    <w:rsid w:val="009F37ED"/>
    <w:rsid w:val="009F4C67"/>
    <w:rsid w:val="009F5ADC"/>
    <w:rsid w:val="009F71C9"/>
    <w:rsid w:val="009F7C44"/>
    <w:rsid w:val="00A01353"/>
    <w:rsid w:val="00A013D7"/>
    <w:rsid w:val="00A0273F"/>
    <w:rsid w:val="00A11458"/>
    <w:rsid w:val="00A149E6"/>
    <w:rsid w:val="00A17E9E"/>
    <w:rsid w:val="00A25B07"/>
    <w:rsid w:val="00A27A7C"/>
    <w:rsid w:val="00A27F64"/>
    <w:rsid w:val="00A30E5D"/>
    <w:rsid w:val="00A3161F"/>
    <w:rsid w:val="00A32DCA"/>
    <w:rsid w:val="00A350E0"/>
    <w:rsid w:val="00A35F2B"/>
    <w:rsid w:val="00A366C5"/>
    <w:rsid w:val="00A36A6D"/>
    <w:rsid w:val="00A37D1D"/>
    <w:rsid w:val="00A4029B"/>
    <w:rsid w:val="00A4191F"/>
    <w:rsid w:val="00A42E62"/>
    <w:rsid w:val="00A45148"/>
    <w:rsid w:val="00A453F0"/>
    <w:rsid w:val="00A544CB"/>
    <w:rsid w:val="00A61425"/>
    <w:rsid w:val="00A6174C"/>
    <w:rsid w:val="00A62B5D"/>
    <w:rsid w:val="00A6451A"/>
    <w:rsid w:val="00A700D9"/>
    <w:rsid w:val="00A81FE9"/>
    <w:rsid w:val="00A82207"/>
    <w:rsid w:val="00A846EB"/>
    <w:rsid w:val="00A911A2"/>
    <w:rsid w:val="00A938C2"/>
    <w:rsid w:val="00A94025"/>
    <w:rsid w:val="00A96F54"/>
    <w:rsid w:val="00AA0B4B"/>
    <w:rsid w:val="00AA1F52"/>
    <w:rsid w:val="00AA2353"/>
    <w:rsid w:val="00AA25B6"/>
    <w:rsid w:val="00AA2B7F"/>
    <w:rsid w:val="00AA4BE8"/>
    <w:rsid w:val="00AA6E37"/>
    <w:rsid w:val="00AB308A"/>
    <w:rsid w:val="00AB4AF0"/>
    <w:rsid w:val="00AB64A8"/>
    <w:rsid w:val="00AB7A96"/>
    <w:rsid w:val="00AC2003"/>
    <w:rsid w:val="00AC2127"/>
    <w:rsid w:val="00AC3A1D"/>
    <w:rsid w:val="00AC71B4"/>
    <w:rsid w:val="00AD00BE"/>
    <w:rsid w:val="00AD0250"/>
    <w:rsid w:val="00AD1B04"/>
    <w:rsid w:val="00AD203C"/>
    <w:rsid w:val="00AD4BC9"/>
    <w:rsid w:val="00AD7D0F"/>
    <w:rsid w:val="00AE0B29"/>
    <w:rsid w:val="00AE1D3E"/>
    <w:rsid w:val="00AE383C"/>
    <w:rsid w:val="00AE6EBE"/>
    <w:rsid w:val="00AE7916"/>
    <w:rsid w:val="00AF2EA9"/>
    <w:rsid w:val="00AF3112"/>
    <w:rsid w:val="00AF3EE4"/>
    <w:rsid w:val="00AF7A4E"/>
    <w:rsid w:val="00B0154D"/>
    <w:rsid w:val="00B03BDF"/>
    <w:rsid w:val="00B054A5"/>
    <w:rsid w:val="00B10264"/>
    <w:rsid w:val="00B10430"/>
    <w:rsid w:val="00B120C9"/>
    <w:rsid w:val="00B14564"/>
    <w:rsid w:val="00B14F3C"/>
    <w:rsid w:val="00B178D6"/>
    <w:rsid w:val="00B20539"/>
    <w:rsid w:val="00B25D6F"/>
    <w:rsid w:val="00B26522"/>
    <w:rsid w:val="00B30785"/>
    <w:rsid w:val="00B30A03"/>
    <w:rsid w:val="00B337A3"/>
    <w:rsid w:val="00B45C11"/>
    <w:rsid w:val="00B47F96"/>
    <w:rsid w:val="00B543FB"/>
    <w:rsid w:val="00B5557B"/>
    <w:rsid w:val="00B55603"/>
    <w:rsid w:val="00B568FE"/>
    <w:rsid w:val="00B634C0"/>
    <w:rsid w:val="00B645F7"/>
    <w:rsid w:val="00B668FD"/>
    <w:rsid w:val="00B67323"/>
    <w:rsid w:val="00B70123"/>
    <w:rsid w:val="00B7015D"/>
    <w:rsid w:val="00B70AD2"/>
    <w:rsid w:val="00B711D8"/>
    <w:rsid w:val="00B7344E"/>
    <w:rsid w:val="00B820DB"/>
    <w:rsid w:val="00B82E73"/>
    <w:rsid w:val="00B83CFC"/>
    <w:rsid w:val="00B85112"/>
    <w:rsid w:val="00B9051C"/>
    <w:rsid w:val="00B938BF"/>
    <w:rsid w:val="00B939FB"/>
    <w:rsid w:val="00BA01A7"/>
    <w:rsid w:val="00BA279E"/>
    <w:rsid w:val="00BA3E70"/>
    <w:rsid w:val="00BA5E2C"/>
    <w:rsid w:val="00BA5F56"/>
    <w:rsid w:val="00BA7AAC"/>
    <w:rsid w:val="00BB01C3"/>
    <w:rsid w:val="00BB0808"/>
    <w:rsid w:val="00BC79C2"/>
    <w:rsid w:val="00BD01D3"/>
    <w:rsid w:val="00BD238B"/>
    <w:rsid w:val="00BD2684"/>
    <w:rsid w:val="00BD34BA"/>
    <w:rsid w:val="00BD39D0"/>
    <w:rsid w:val="00BD5646"/>
    <w:rsid w:val="00BE71C7"/>
    <w:rsid w:val="00BE792C"/>
    <w:rsid w:val="00BF1198"/>
    <w:rsid w:val="00BF57BF"/>
    <w:rsid w:val="00BF6302"/>
    <w:rsid w:val="00BF71AA"/>
    <w:rsid w:val="00BF7DD4"/>
    <w:rsid w:val="00C00940"/>
    <w:rsid w:val="00C01CFF"/>
    <w:rsid w:val="00C01EEB"/>
    <w:rsid w:val="00C030BA"/>
    <w:rsid w:val="00C03E75"/>
    <w:rsid w:val="00C04A03"/>
    <w:rsid w:val="00C05AC7"/>
    <w:rsid w:val="00C078DC"/>
    <w:rsid w:val="00C10584"/>
    <w:rsid w:val="00C11C13"/>
    <w:rsid w:val="00C1211E"/>
    <w:rsid w:val="00C20714"/>
    <w:rsid w:val="00C20BB0"/>
    <w:rsid w:val="00C23F09"/>
    <w:rsid w:val="00C23FE6"/>
    <w:rsid w:val="00C31C31"/>
    <w:rsid w:val="00C34218"/>
    <w:rsid w:val="00C362F6"/>
    <w:rsid w:val="00C411EA"/>
    <w:rsid w:val="00C4397A"/>
    <w:rsid w:val="00C44A07"/>
    <w:rsid w:val="00C54A03"/>
    <w:rsid w:val="00C54B4B"/>
    <w:rsid w:val="00C54BC8"/>
    <w:rsid w:val="00C56214"/>
    <w:rsid w:val="00C60212"/>
    <w:rsid w:val="00C61F35"/>
    <w:rsid w:val="00C64E48"/>
    <w:rsid w:val="00C6709C"/>
    <w:rsid w:val="00C70F72"/>
    <w:rsid w:val="00C739B4"/>
    <w:rsid w:val="00C73DA5"/>
    <w:rsid w:val="00C74DC9"/>
    <w:rsid w:val="00C74E66"/>
    <w:rsid w:val="00C821CC"/>
    <w:rsid w:val="00C82BD7"/>
    <w:rsid w:val="00C82CED"/>
    <w:rsid w:val="00C83411"/>
    <w:rsid w:val="00C85186"/>
    <w:rsid w:val="00C872DA"/>
    <w:rsid w:val="00C93AF4"/>
    <w:rsid w:val="00CA3892"/>
    <w:rsid w:val="00CA530B"/>
    <w:rsid w:val="00CA5DA0"/>
    <w:rsid w:val="00CB11A1"/>
    <w:rsid w:val="00CB64C8"/>
    <w:rsid w:val="00CB716F"/>
    <w:rsid w:val="00CC003C"/>
    <w:rsid w:val="00CC0516"/>
    <w:rsid w:val="00CC60E4"/>
    <w:rsid w:val="00CC6FAE"/>
    <w:rsid w:val="00CD18EC"/>
    <w:rsid w:val="00CD42B2"/>
    <w:rsid w:val="00CD5B62"/>
    <w:rsid w:val="00CD5DAE"/>
    <w:rsid w:val="00CD6F33"/>
    <w:rsid w:val="00CF1E34"/>
    <w:rsid w:val="00CF1FDB"/>
    <w:rsid w:val="00CF20BB"/>
    <w:rsid w:val="00CF35C3"/>
    <w:rsid w:val="00CF45D1"/>
    <w:rsid w:val="00CF4FF4"/>
    <w:rsid w:val="00CF68F0"/>
    <w:rsid w:val="00CF6B07"/>
    <w:rsid w:val="00CF76DA"/>
    <w:rsid w:val="00D0602E"/>
    <w:rsid w:val="00D064E5"/>
    <w:rsid w:val="00D06A4B"/>
    <w:rsid w:val="00D06FE8"/>
    <w:rsid w:val="00D13E59"/>
    <w:rsid w:val="00D15EBC"/>
    <w:rsid w:val="00D20A7F"/>
    <w:rsid w:val="00D241E6"/>
    <w:rsid w:val="00D25A29"/>
    <w:rsid w:val="00D2790D"/>
    <w:rsid w:val="00D27B11"/>
    <w:rsid w:val="00D32074"/>
    <w:rsid w:val="00D33C3F"/>
    <w:rsid w:val="00D40A71"/>
    <w:rsid w:val="00D418E4"/>
    <w:rsid w:val="00D420D2"/>
    <w:rsid w:val="00D425A5"/>
    <w:rsid w:val="00D42D36"/>
    <w:rsid w:val="00D468EE"/>
    <w:rsid w:val="00D51C8F"/>
    <w:rsid w:val="00D53A8B"/>
    <w:rsid w:val="00D5724D"/>
    <w:rsid w:val="00D6021B"/>
    <w:rsid w:val="00D6182D"/>
    <w:rsid w:val="00D65D1B"/>
    <w:rsid w:val="00D66BFD"/>
    <w:rsid w:val="00D67BC1"/>
    <w:rsid w:val="00D704DA"/>
    <w:rsid w:val="00D7216B"/>
    <w:rsid w:val="00D77709"/>
    <w:rsid w:val="00D81A05"/>
    <w:rsid w:val="00D81A12"/>
    <w:rsid w:val="00D8435B"/>
    <w:rsid w:val="00D852F4"/>
    <w:rsid w:val="00D86EA7"/>
    <w:rsid w:val="00D916D1"/>
    <w:rsid w:val="00D95842"/>
    <w:rsid w:val="00DB0259"/>
    <w:rsid w:val="00DB14C4"/>
    <w:rsid w:val="00DB1535"/>
    <w:rsid w:val="00DB1E14"/>
    <w:rsid w:val="00DB2413"/>
    <w:rsid w:val="00DB5BFC"/>
    <w:rsid w:val="00DC005B"/>
    <w:rsid w:val="00DC122A"/>
    <w:rsid w:val="00DC6270"/>
    <w:rsid w:val="00DC6AF0"/>
    <w:rsid w:val="00DD1003"/>
    <w:rsid w:val="00DD3604"/>
    <w:rsid w:val="00DD485C"/>
    <w:rsid w:val="00DD5F51"/>
    <w:rsid w:val="00DD6647"/>
    <w:rsid w:val="00DD7AE9"/>
    <w:rsid w:val="00DE039E"/>
    <w:rsid w:val="00DE234F"/>
    <w:rsid w:val="00DE3169"/>
    <w:rsid w:val="00DF05AC"/>
    <w:rsid w:val="00DF3326"/>
    <w:rsid w:val="00E01D60"/>
    <w:rsid w:val="00E0410E"/>
    <w:rsid w:val="00E06E46"/>
    <w:rsid w:val="00E070A7"/>
    <w:rsid w:val="00E0726E"/>
    <w:rsid w:val="00E10CC3"/>
    <w:rsid w:val="00E130CD"/>
    <w:rsid w:val="00E14B7D"/>
    <w:rsid w:val="00E20165"/>
    <w:rsid w:val="00E20353"/>
    <w:rsid w:val="00E215BA"/>
    <w:rsid w:val="00E21B14"/>
    <w:rsid w:val="00E22554"/>
    <w:rsid w:val="00E245F8"/>
    <w:rsid w:val="00E30A0B"/>
    <w:rsid w:val="00E30C6F"/>
    <w:rsid w:val="00E30C9D"/>
    <w:rsid w:val="00E333F8"/>
    <w:rsid w:val="00E338C9"/>
    <w:rsid w:val="00E404F3"/>
    <w:rsid w:val="00E4117D"/>
    <w:rsid w:val="00E43BAB"/>
    <w:rsid w:val="00E46816"/>
    <w:rsid w:val="00E47E43"/>
    <w:rsid w:val="00E529C0"/>
    <w:rsid w:val="00E52B3B"/>
    <w:rsid w:val="00E54D41"/>
    <w:rsid w:val="00E56906"/>
    <w:rsid w:val="00E57E71"/>
    <w:rsid w:val="00E622CC"/>
    <w:rsid w:val="00E67673"/>
    <w:rsid w:val="00E67B8B"/>
    <w:rsid w:val="00E72520"/>
    <w:rsid w:val="00E726E1"/>
    <w:rsid w:val="00E73EF8"/>
    <w:rsid w:val="00E76F0E"/>
    <w:rsid w:val="00E828AF"/>
    <w:rsid w:val="00E83CFA"/>
    <w:rsid w:val="00E84CAA"/>
    <w:rsid w:val="00E853B9"/>
    <w:rsid w:val="00E862EC"/>
    <w:rsid w:val="00E86AA6"/>
    <w:rsid w:val="00E87216"/>
    <w:rsid w:val="00E87E14"/>
    <w:rsid w:val="00E9034E"/>
    <w:rsid w:val="00E90633"/>
    <w:rsid w:val="00E91996"/>
    <w:rsid w:val="00E92414"/>
    <w:rsid w:val="00E962DB"/>
    <w:rsid w:val="00EA4AB9"/>
    <w:rsid w:val="00EA4C7C"/>
    <w:rsid w:val="00EA50A4"/>
    <w:rsid w:val="00EB1CD3"/>
    <w:rsid w:val="00EB34D1"/>
    <w:rsid w:val="00EB3B94"/>
    <w:rsid w:val="00EB5F3E"/>
    <w:rsid w:val="00EC006E"/>
    <w:rsid w:val="00EC3ABE"/>
    <w:rsid w:val="00EC7DDC"/>
    <w:rsid w:val="00ED027E"/>
    <w:rsid w:val="00ED0C43"/>
    <w:rsid w:val="00ED2797"/>
    <w:rsid w:val="00ED4BEE"/>
    <w:rsid w:val="00ED4F4C"/>
    <w:rsid w:val="00ED5174"/>
    <w:rsid w:val="00ED57B2"/>
    <w:rsid w:val="00ED755E"/>
    <w:rsid w:val="00EE0967"/>
    <w:rsid w:val="00EE18F4"/>
    <w:rsid w:val="00EE2554"/>
    <w:rsid w:val="00EF0435"/>
    <w:rsid w:val="00EF0CE8"/>
    <w:rsid w:val="00EF3284"/>
    <w:rsid w:val="00EF5C81"/>
    <w:rsid w:val="00EF5D4A"/>
    <w:rsid w:val="00EF6C05"/>
    <w:rsid w:val="00F00053"/>
    <w:rsid w:val="00F0103D"/>
    <w:rsid w:val="00F0112D"/>
    <w:rsid w:val="00F01C0C"/>
    <w:rsid w:val="00F05C9C"/>
    <w:rsid w:val="00F05EEE"/>
    <w:rsid w:val="00F121AC"/>
    <w:rsid w:val="00F1261F"/>
    <w:rsid w:val="00F13010"/>
    <w:rsid w:val="00F13FE7"/>
    <w:rsid w:val="00F140F1"/>
    <w:rsid w:val="00F14B7D"/>
    <w:rsid w:val="00F27957"/>
    <w:rsid w:val="00F30F24"/>
    <w:rsid w:val="00F33663"/>
    <w:rsid w:val="00F33821"/>
    <w:rsid w:val="00F3684E"/>
    <w:rsid w:val="00F37667"/>
    <w:rsid w:val="00F4255C"/>
    <w:rsid w:val="00F46539"/>
    <w:rsid w:val="00F50ED2"/>
    <w:rsid w:val="00F50F88"/>
    <w:rsid w:val="00F53913"/>
    <w:rsid w:val="00F564BC"/>
    <w:rsid w:val="00F56738"/>
    <w:rsid w:val="00F62EBA"/>
    <w:rsid w:val="00F63841"/>
    <w:rsid w:val="00F662F6"/>
    <w:rsid w:val="00F67CA7"/>
    <w:rsid w:val="00F70910"/>
    <w:rsid w:val="00F762B7"/>
    <w:rsid w:val="00F7688D"/>
    <w:rsid w:val="00F80FEF"/>
    <w:rsid w:val="00F8138C"/>
    <w:rsid w:val="00F813B1"/>
    <w:rsid w:val="00F82E7E"/>
    <w:rsid w:val="00F83732"/>
    <w:rsid w:val="00F874DA"/>
    <w:rsid w:val="00F9226F"/>
    <w:rsid w:val="00F9370D"/>
    <w:rsid w:val="00F94542"/>
    <w:rsid w:val="00F97DEA"/>
    <w:rsid w:val="00FA0FDA"/>
    <w:rsid w:val="00FA23D6"/>
    <w:rsid w:val="00FA3B78"/>
    <w:rsid w:val="00FA77D5"/>
    <w:rsid w:val="00FB10D3"/>
    <w:rsid w:val="00FB465D"/>
    <w:rsid w:val="00FB78BD"/>
    <w:rsid w:val="00FC1FD6"/>
    <w:rsid w:val="00FC2508"/>
    <w:rsid w:val="00FC3EBC"/>
    <w:rsid w:val="00FD1D93"/>
    <w:rsid w:val="00FD3090"/>
    <w:rsid w:val="00FD3608"/>
    <w:rsid w:val="00FE3CC0"/>
    <w:rsid w:val="00FE50EE"/>
    <w:rsid w:val="00FE7B4D"/>
    <w:rsid w:val="00FF0AA5"/>
    <w:rsid w:val="00FF0E07"/>
    <w:rsid w:val="00FF1ED7"/>
    <w:rsid w:val="00FF54DE"/>
    <w:rsid w:val="00FF79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5CD20"/>
  <w15:chartTrackingRefBased/>
  <w15:docId w15:val="{B99C08C0-E885-4E68-AD6B-D09EE923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0ED2"/>
    <w:rPr>
      <w:rFonts w:ascii="Calibri" w:hAnsi="Calibri"/>
      <w:color w:val="0B3B60"/>
    </w:rPr>
  </w:style>
  <w:style w:type="paragraph" w:styleId="Kop1">
    <w:name w:val="heading 1"/>
    <w:basedOn w:val="Standaard"/>
    <w:next w:val="Standaard"/>
    <w:link w:val="Kop1Char"/>
    <w:uiPriority w:val="9"/>
    <w:qFormat/>
    <w:rsid w:val="00846DCD"/>
    <w:pPr>
      <w:keepNext/>
      <w:keepLines/>
      <w:spacing w:before="240" w:after="0"/>
      <w:outlineLvl w:val="0"/>
    </w:pPr>
    <w:rPr>
      <w:rFonts w:eastAsiaTheme="majorEastAsia" w:cstheme="majorBidi"/>
      <w:b/>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A6E37"/>
    <w:pPr>
      <w:overflowPunct w:val="0"/>
      <w:autoSpaceDE w:val="0"/>
      <w:autoSpaceDN w:val="0"/>
      <w:adjustRightInd w:val="0"/>
      <w:spacing w:after="0" w:line="240" w:lineRule="auto"/>
    </w:pPr>
    <w:rPr>
      <w:rFonts w:ascii="Calibri" w:eastAsia="Times New Roman" w:hAnsi="Calibri" w:cs="Times New Roman"/>
      <w:color w:val="0B3B60"/>
      <w:szCs w:val="20"/>
      <w:lang w:eastAsia="nl-NL"/>
    </w:rPr>
  </w:style>
  <w:style w:type="paragraph" w:styleId="Koptekst">
    <w:name w:val="header"/>
    <w:basedOn w:val="Standaard"/>
    <w:link w:val="KoptekstChar"/>
    <w:uiPriority w:val="99"/>
    <w:unhideWhenUsed/>
    <w:rsid w:val="00AA6E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6E37"/>
    <w:rPr>
      <w:rFonts w:ascii="Calibri" w:hAnsi="Calibri"/>
      <w:color w:val="0B3B60"/>
    </w:rPr>
  </w:style>
  <w:style w:type="paragraph" w:styleId="Voettekst">
    <w:name w:val="footer"/>
    <w:basedOn w:val="Standaard"/>
    <w:link w:val="VoettekstChar"/>
    <w:uiPriority w:val="99"/>
    <w:unhideWhenUsed/>
    <w:rsid w:val="00AA6E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6E37"/>
    <w:rPr>
      <w:rFonts w:ascii="Calibri" w:hAnsi="Calibri"/>
      <w:color w:val="0B3B60"/>
    </w:rPr>
  </w:style>
  <w:style w:type="table" w:styleId="Tabelraster">
    <w:name w:val="Table Grid"/>
    <w:basedOn w:val="Standaardtabel"/>
    <w:uiPriority w:val="39"/>
    <w:rsid w:val="00AA6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46DCD"/>
    <w:rPr>
      <w:color w:val="0563C1" w:themeColor="hyperlink"/>
      <w:u w:val="single"/>
    </w:rPr>
  </w:style>
  <w:style w:type="character" w:styleId="Vermelding">
    <w:name w:val="Mention"/>
    <w:basedOn w:val="Standaardalinea-lettertype"/>
    <w:uiPriority w:val="99"/>
    <w:semiHidden/>
    <w:unhideWhenUsed/>
    <w:rsid w:val="00846DCD"/>
    <w:rPr>
      <w:color w:val="2B579A"/>
      <w:shd w:val="clear" w:color="auto" w:fill="E6E6E6"/>
    </w:rPr>
  </w:style>
  <w:style w:type="character" w:customStyle="1" w:styleId="Kop1Char">
    <w:name w:val="Kop 1 Char"/>
    <w:basedOn w:val="Standaardalinea-lettertype"/>
    <w:link w:val="Kop1"/>
    <w:uiPriority w:val="9"/>
    <w:rsid w:val="00846DCD"/>
    <w:rPr>
      <w:rFonts w:ascii="Calibri" w:eastAsiaTheme="majorEastAsia" w:hAnsi="Calibri" w:cstheme="majorBidi"/>
      <w:b/>
      <w:color w:val="0B3B60"/>
      <w:szCs w:val="32"/>
    </w:rPr>
  </w:style>
  <w:style w:type="paragraph" w:styleId="Kopvaninhoudsopgave">
    <w:name w:val="TOC Heading"/>
    <w:basedOn w:val="Kop1"/>
    <w:next w:val="Standaard"/>
    <w:uiPriority w:val="39"/>
    <w:unhideWhenUsed/>
    <w:qFormat/>
    <w:rsid w:val="00846DCD"/>
    <w:pPr>
      <w:outlineLvl w:val="9"/>
    </w:pPr>
    <w:rPr>
      <w:rFonts w:asciiTheme="majorHAnsi" w:hAnsiTheme="majorHAnsi"/>
      <w:b w:val="0"/>
      <w:color w:val="2F5496" w:themeColor="accent1" w:themeShade="BF"/>
      <w:sz w:val="32"/>
      <w:lang w:eastAsia="nl-NL"/>
    </w:rPr>
  </w:style>
  <w:style w:type="paragraph" w:styleId="Inhopg1">
    <w:name w:val="toc 1"/>
    <w:basedOn w:val="Standaard"/>
    <w:next w:val="Standaard"/>
    <w:autoRedefine/>
    <w:uiPriority w:val="39"/>
    <w:unhideWhenUsed/>
    <w:rsid w:val="00846DC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2emissiefactoren.nl" TargetMode="External"/><Relationship Id="rId4" Type="http://schemas.openxmlformats.org/officeDocument/2006/relationships/settings" Target="settings.xml"/><Relationship Id="rId9" Type="http://schemas.openxmlformats.org/officeDocument/2006/relationships/hyperlink" Target="http://www.co2emissiefactoren.nl"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F459EDAB9A411DA3F2947E9626A7EF"/>
        <w:category>
          <w:name w:val="Algemeen"/>
          <w:gallery w:val="placeholder"/>
        </w:category>
        <w:types>
          <w:type w:val="bbPlcHdr"/>
        </w:types>
        <w:behaviors>
          <w:behavior w:val="content"/>
        </w:behaviors>
        <w:guid w:val="{0EB0FDE8-EB91-40DF-A098-884CB7F3EBB3}"/>
      </w:docPartPr>
      <w:docPartBody>
        <w:p w:rsidR="009761F7" w:rsidRDefault="007F3AFC" w:rsidP="007F3AFC">
          <w:pPr>
            <w:pStyle w:val="7EF459EDAB9A411DA3F2947E9626A7EF"/>
          </w:pPr>
          <w:r w:rsidRPr="00733A61">
            <w:rPr>
              <w:rStyle w:val="Tekstvantijdelijkeaanduiding"/>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AFC"/>
    <w:rsid w:val="007F3AFC"/>
    <w:rsid w:val="009761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F3AFC"/>
    <w:rPr>
      <w:color w:val="808080"/>
    </w:rPr>
  </w:style>
  <w:style w:type="paragraph" w:customStyle="1" w:styleId="7EF459EDAB9A411DA3F2947E9626A7EF">
    <w:name w:val="7EF459EDAB9A411DA3F2947E9626A7EF"/>
    <w:rsid w:val="007F3A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7DDEC-2C74-4D0C-B06D-8373E13B5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2051</Words>
  <Characters>11282</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VOF Kennes</dc:creator>
  <cp:keywords/>
  <dc:description/>
  <cp:lastModifiedBy>Kris Kennes</cp:lastModifiedBy>
  <cp:revision>10</cp:revision>
  <cp:lastPrinted>2020-12-19T09:35:00Z</cp:lastPrinted>
  <dcterms:created xsi:type="dcterms:W3CDTF">2021-12-10T18:28:00Z</dcterms:created>
  <dcterms:modified xsi:type="dcterms:W3CDTF">2021-12-15T18:01:00Z</dcterms:modified>
</cp:coreProperties>
</file>